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DONY DORTMUND,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19750303 200003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Pariaman.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191.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DONY DORTMUND,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19750303 200003 1 002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Pariaman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Pariaman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Pariaman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