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0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0"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Serang  dan Tangerang.</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WISNU RAHADI,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19670505 199703 1 005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Utama Muda/</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Utama,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Hakim Pengadilan Negeri Tindak Pidana Korupsi/Hubungan Industrial Serang</w:t>
            </w:r>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 Utama Muda/</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Utama,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Tangerang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Tangerang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bookmarkStart w:id="1" w:name="_GoBack"/>
            <w:bookmarkEnd w:id="1"/>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0"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F64108"/>
    <w:rsid w:val="384444EA"/>
    <w:rsid w:val="391F7FA3"/>
    <w:rsid w:val="39EC6432"/>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10" Type="http://schemas.openxmlformats.org/officeDocument/2006/relationships/image" Target="media/image_rId10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2021-10-04T10:20:33Z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