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1167/DJU/SK/KP.04.1/4/2019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AI-13001002674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THEODORES HARINDAH,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UJUNG PANDANG</w:t>
            </w:r>
            <w:r>
              <w:rPr>
                <w:rFonts w:cs="Times New Roman"/>
                <w:sz w:val="20"/>
                <w:szCs w:val="20"/>
              </w:rPr>
              <w:t xml:space="preserve"> / </w:t>
            </w:r>
            <w:r>
              <w:rPr>
                <w:rFonts w:cs="Calibri"/>
                <w:b w:val="false"/>
                <w:bCs w:val="false"/>
                <w:sz w:val="20"/>
                <w:szCs w:val="20"/>
              </w:rPr>
              <w:t>22-08-1967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196708221991031004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Jeneponto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23</w:t>
      </w:r>
      <w:r>
        <w:rPr>
          <w:rFonts w:cs="Times New Roman"/>
          <w:sz w:val="20"/>
          <w:szCs w:val="20"/>
        </w:rPr>
        <w:t xml:space="preserve"> tahun </w:t>
      </w:r>
      <w:r>
        <w:rPr>
          <w:rFonts w:cs="Calibri"/>
          <w:b w:val="false"/>
          <w:bCs w:val="false"/>
          <w:sz w:val="20"/>
          <w:szCs w:val="20"/>
        </w:rPr>
        <w:t>1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