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2737/DJU/SK/KP.04.1/8/2019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AI-13001000089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AGUSRIADI,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Sikapa</w:t>
            </w:r>
            <w:r>
              <w:rPr>
                <w:rFonts w:cs="Times New Roman"/>
                <w:sz w:val="20"/>
                <w:szCs w:val="20"/>
              </w:rPr>
              <w:t xml:space="preserve"> / </w:t>
            </w:r>
            <w:r>
              <w:rPr>
                <w:rFonts w:cs="Calibri"/>
                <w:b w:val="false"/>
                <w:bCs w:val="false"/>
                <w:sz w:val="20"/>
                <w:szCs w:val="20"/>
              </w:rPr>
              <w:t>26-10-1983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198310262006041009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45 MAKASSAR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Pangkajene</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10</w:t>
      </w:r>
      <w:r>
        <w:rPr>
          <w:rFonts w:cs="Times New Roman"/>
          <w:sz w:val="20"/>
          <w:szCs w:val="20"/>
        </w:rPr>
        <w:t xml:space="preserve"> tahun </w:t>
      </w:r>
      <w:r>
        <w:rPr>
          <w:rFonts w:cs="Calibri"/>
          <w:b w:val="false"/>
          <w:bCs w:val="false"/>
          <w:sz w:val="20"/>
          <w:szCs w:val="20"/>
        </w:rPr>
        <w:t>5 bulan</w:t>
      </w:r>
      <w:r>
        <w:rPr>
          <w:rFonts w:cs="Times New Roman"/>
          <w:sz w:val="20"/>
          <w:szCs w:val="20"/>
        </w:rPr>
        <w:t xml:space="preserve">, diberikan gaji pokok sebesar Rp. </w:t>
      </w:r>
      <w:r>
        <w:rPr>
          <w:rFonts w:cs="Calibri"/>
          <w:b w:val="false"/>
          <w:bCs w:val="false"/>
          <w:sz w:val="20"/>
          <w:szCs w:val="20"/>
        </w:rPr>
        <w:t>Rp 3,139,400,-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tiga puluh sembilan ribu empat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