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2744/DJU/SK/KP.04.1/8/2019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AI-13001000099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ANITA FARHAN,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09-12-1982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198212092006042001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45 MAKASSAR TAHUN 2006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Makale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