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2876/DJU/SK/KP.04.1/8/2019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AI-13001000316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LAMHISAR SIANTURI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Medan</w:t>
            </w:r>
            <w:r>
              <w:rPr>
                <w:rFonts w:cs="Times New Roman"/>
                <w:sz w:val="20"/>
                <w:szCs w:val="20"/>
              </w:rPr>
              <w:t xml:space="preserve"> / </w:t>
            </w:r>
            <w:r>
              <w:rPr>
                <w:rFonts w:cs="Calibri"/>
                <w:b w:val="false"/>
                <w:bCs w:val="false"/>
                <w:sz w:val="20"/>
                <w:szCs w:val="20"/>
              </w:rPr>
              <w:t>21-01-1973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197301211993031003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SMA TAHUN 1992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Tarutung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3,409,800,-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empat ratus sembilan ribu delapan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