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2706/DJU/SK/KP.04.1/8/2019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AI-13001000303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HULMAN PANGGABEAN, SH.,MH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PAMSUR NAPITU</w:t>
            </w:r>
            <w:r>
              <w:rPr>
                <w:rFonts w:cs="Times New Roman"/>
                <w:sz w:val="20"/>
                <w:szCs w:val="20"/>
              </w:rPr>
              <w:t xml:space="preserve"> / </w:t>
            </w:r>
            <w:r>
              <w:rPr>
                <w:rFonts w:cs="Calibri"/>
                <w:b w:val="false"/>
                <w:bCs w:val="false"/>
                <w:sz w:val="20"/>
                <w:szCs w:val="20"/>
              </w:rPr>
              <w:t>27-09-1965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196509271994031005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17 AGUSTUS 1945 JAKARTA TAHUN 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Jakarta Utara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20</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4,151,100,-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lima puluh satu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