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3217/DJU/SK/KP.04.1/10/2019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AI-13001000747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ADE YULIANTI WAHYUNI, SH., MH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JAKARTA</w:t>
            </w:r>
            <w:r>
              <w:rPr>
                <w:rFonts w:cs="Times New Roman"/>
                <w:sz w:val="20"/>
                <w:szCs w:val="20"/>
              </w:rPr>
              <w:t xml:space="preserve"> / </w:t>
            </w:r>
            <w:r>
              <w:rPr>
                <w:rFonts w:cs="Calibri"/>
                <w:b w:val="false"/>
                <w:bCs w:val="false"/>
                <w:sz w:val="20"/>
                <w:szCs w:val="20"/>
              </w:rPr>
              <w:t>05-07-1972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197207051997032004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MH UNIVERSITAS SUNAN GIRI SURABAYA TAHUN 2017</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Tk.I</w:t>
            </w:r>
            <w:r>
              <w:rPr>
                <w:rFonts w:cs="Times New Roman"/>
                <w:sz w:val="20"/>
                <w:szCs w:val="20"/>
              </w:rPr>
              <w:t xml:space="preserve"> (</w:t>
            </w:r>
            <w:r>
              <w:rPr>
                <w:rFonts w:cs="Calibri"/>
                <w:b w:val="false"/>
                <w:bCs w:val="false"/>
                <w:sz w:val="20"/>
                <w:szCs w:val="20"/>
              </w:rPr>
              <w:t>III/d)</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PP</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Sidoarjo</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Pembina</w:t>
      </w:r>
      <w:r>
        <w:rPr>
          <w:rFonts w:cs="Times New Roman"/>
          <w:sz w:val="20"/>
          <w:szCs w:val="20"/>
        </w:rPr>
        <w:t xml:space="preserve"> golongan ruang (</w:t>
      </w:r>
      <w:r>
        <w:rPr>
          <w:rFonts w:cs="Calibri"/>
          <w:b w:val="false"/>
          <w:bCs w:val="false"/>
          <w:sz w:val="20"/>
          <w:szCs w:val="20"/>
        </w:rPr>
        <w:t>IV/a</w:t>
      </w:r>
      <w:r>
        <w:rPr>
          <w:rFonts w:cs="Times New Roman"/>
          <w:sz w:val="20"/>
          <w:szCs w:val="20"/>
        </w:rPr>
        <w:t xml:space="preserve">) dengan masa kerja golongan </w:t>
      </w:r>
      <w:r>
        <w:rPr>
          <w:rFonts w:cs="Calibri"/>
          <w:b w:val="false"/>
          <w:bCs w:val="false"/>
          <w:sz w:val="20"/>
          <w:szCs w:val="20"/>
        </w:rPr>
        <w:t>20</w:t>
      </w:r>
      <w:r>
        <w:rPr>
          <w:rFonts w:cs="Times New Roman"/>
          <w:sz w:val="20"/>
          <w:szCs w:val="20"/>
        </w:rPr>
        <w:t xml:space="preserve"> tahun </w:t>
      </w:r>
      <w:r>
        <w:rPr>
          <w:rFonts w:cs="Calibri"/>
          <w:b w:val="false"/>
          <w:bCs w:val="false"/>
          <w:sz w:val="20"/>
          <w:szCs w:val="20"/>
        </w:rPr>
        <w:t>7 bulan</w:t>
      </w:r>
      <w:r>
        <w:rPr>
          <w:rFonts w:cs="Times New Roman"/>
          <w:sz w:val="20"/>
          <w:szCs w:val="20"/>
        </w:rPr>
        <w:t xml:space="preserve">, diberikan gaji pokok sebesar Rp. </w:t>
      </w:r>
      <w:r>
        <w:rPr>
          <w:rFonts w:cs="Calibri"/>
          <w:b w:val="false"/>
          <w:bCs w:val="false"/>
          <w:sz w:val="20"/>
          <w:szCs w:val="20"/>
        </w:rPr>
        <w:t>Rp 4,151,100,-</w:t>
      </w:r>
      <w:r>
        <w:rPr>
          <w:rFonts w:cs="Times New Roman"/>
          <w:sz w:val="20"/>
          <w:szCs w:val="20"/>
          <w:lang w:val="de-DE"/>
        </w:rPr>
        <w:t xml:space="preserve"> </w:t>
      </w:r>
      <w:r>
        <w:rPr>
          <w:rFonts w:cs="Times New Roman"/>
          <w:sz w:val="20"/>
          <w:szCs w:val="20"/>
        </w:rPr>
        <w:t>(</w:t>
      </w:r>
      <w:r>
        <w:rPr>
          <w:rFonts w:cs="Calibri"/>
          <w:b w:val="false"/>
          <w:bCs w:val="false"/>
          <w:sz w:val="20"/>
          <w:szCs w:val="20"/>
        </w:rPr>
        <w:t>empat juta seratus lima puluh satu ribu seratus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25-10-2019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