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ind w:right="270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ascii="Bookman Old Style" w:hAnsi="Bookman Old Style" w:cs="Arial"/>
          <w:b/>
          <w:color w:val="000000"/>
          <w:sz w:val="26"/>
          <w:szCs w:val="26"/>
        </w:rPr>
        <w:t>MAHKAMAH AGUNG REPUBLIK INDONESIA</w:t>
      </w:r>
    </w:p>
    <w:p>
      <w:pPr>
        <w:tabs>
          <w:tab w:val="left" w:pos="2977"/>
        </w:tabs>
        <w:spacing w:line="480" w:lineRule="auto"/>
        <w:ind w:right="270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ascii="Bookman Old Style" w:hAnsi="Bookman Old Style" w:cs="Arial"/>
          <w:b/>
          <w:color w:val="000000"/>
        </w:rPr>
        <w:t>KEPUTUSAN KETUA MAHKAMAH AGUNG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  <w:r>
        <w:rPr>
          <w:rFonts w:ascii="Bookman Old Style" w:hAnsi="Bookman Old Style" w:cs="Arial"/>
          <w:b/>
          <w:color w:val="000000"/>
        </w:rPr>
        <w:t>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480" w:lineRule="auto"/>
        <w:ind w:right="270"/>
        <w:jc w:val="both"/>
        <w:rPr>
          <w:rFonts w:hint="default" w:ascii="Bookman Old Style" w:hAnsi="Bookman Old Style" w:cs="Arial"/>
          <w:b/>
          <w:lang w:val="en-US"/>
        </w:rPr>
      </w:pPr>
      <w:r>
        <w:rPr>
          <w:rFonts w:ascii="Bookman Old Style" w:hAnsi="Bookman Old Style" w:cs="Arial"/>
          <w:b/>
          <w:color w:val="000000"/>
        </w:rPr>
        <w:tab/>
      </w:r>
      <w:r>
        <w:rPr>
          <w:rFonts w:ascii="Bookman Old Style" w:hAnsi="Bookman Old Style" w:cs="Arial"/>
          <w:b/>
          <w:color w:val="000000"/>
        </w:rPr>
        <w:t xml:space="preserve">NOMOR   </w:t>
      </w:r>
      <w:r>
        <w:rPr>
          <w:rFonts w:hint="default" w:ascii="Bookman Old Style" w:hAnsi="Bookman Old Style" w:cs="Arial"/>
          <w:b/>
          <w:color w:val="000000"/>
          <w:lang w:val="en-US"/>
        </w:rPr>
        <w:t>${</w:t>
      </w:r>
      <w:r>
        <w:rPr>
          <w:rFonts w:ascii="Bookman Old Style" w:hAnsi="Bookman Old Style" w:cs="Arial"/>
          <w:b/>
          <w:color w:val="000000"/>
        </w:rPr>
        <w:t>NomorSK</w:t>
      </w:r>
      <w:r>
        <w:rPr>
          <w:rFonts w:hint="default" w:ascii="Bookman Old Style" w:hAnsi="Bookman Old Style" w:cs="Arial"/>
          <w:b/>
          <w:color w:val="000000"/>
          <w:lang w:val="en-US"/>
        </w:rPr>
        <w:t>}</w:t>
      </w:r>
    </w:p>
    <w:p>
      <w:pPr>
        <w:tabs>
          <w:tab w:val="left" w:pos="2977"/>
        </w:tabs>
        <w:spacing w:line="480" w:lineRule="auto"/>
        <w:ind w:right="270"/>
        <w:jc w:val="center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t>TENTANG</w:t>
      </w:r>
    </w:p>
    <w:p>
      <w:pPr>
        <w:tabs>
          <w:tab w:val="left" w:pos="2977"/>
        </w:tabs>
        <w:spacing w:line="276" w:lineRule="auto"/>
        <w:ind w:right="270"/>
        <w:jc w:val="center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t xml:space="preserve">PROMOSI DAN MUTASI KETUA, WAKIL KETUA DAN HAKIM </w:t>
      </w:r>
    </w:p>
    <w:p>
      <w:pPr>
        <w:tabs>
          <w:tab w:val="left" w:pos="2977"/>
        </w:tabs>
        <w:spacing w:line="480" w:lineRule="auto"/>
        <w:ind w:right="270"/>
        <w:jc w:val="center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t>PENGADILAN NEGERI DI LINGKUNGAN PERADILAN UMUM</w:t>
      </w:r>
    </w:p>
    <w:p>
      <w:pPr>
        <w:tabs>
          <w:tab w:val="left" w:pos="2977"/>
        </w:tabs>
        <w:spacing w:line="276" w:lineRule="auto"/>
        <w:ind w:right="270"/>
        <w:jc w:val="center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t>KETUA MAHKAMAH AGUNG REPUBLIK INDONESIA,</w:t>
      </w:r>
    </w:p>
    <w:p>
      <w:pPr>
        <w:tabs>
          <w:tab w:val="left" w:pos="2977"/>
        </w:tabs>
        <w:spacing w:line="276" w:lineRule="auto"/>
        <w:ind w:right="270"/>
        <w:jc w:val="center"/>
        <w:rPr>
          <w:rFonts w:ascii="Bookman Old Style" w:hAnsi="Bookman Old Style" w:cs="Arial"/>
          <w:b/>
          <w:color w:val="000000"/>
        </w:rPr>
      </w:pPr>
    </w:p>
    <w:tbl>
      <w:tblPr>
        <w:tblStyle w:val="3"/>
        <w:tblW w:w="10153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568"/>
        <w:gridCol w:w="712"/>
        <w:gridCol w:w="694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</w:rPr>
              <w:t>Menimbang</w:t>
            </w: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:</w:t>
            </w:r>
          </w:p>
        </w:tc>
        <w:tc>
          <w:tcPr>
            <w:tcW w:w="71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 w:rightChars="0"/>
              <w:jc w:val="right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a.</w:t>
            </w:r>
          </w:p>
        </w:tc>
        <w:tc>
          <w:tcPr>
            <w:tcW w:w="6945" w:type="dxa"/>
            <w:noWrap w:val="0"/>
            <w:vAlign w:val="top"/>
          </w:tcPr>
          <w:p>
            <w:pPr>
              <w:tabs>
                <w:tab w:val="left" w:pos="102"/>
                <w:tab w:val="left" w:pos="2977"/>
                <w:tab w:val="left" w:pos="8820"/>
              </w:tabs>
              <w:spacing w:line="276" w:lineRule="auto"/>
              <w:ind w:left="72" w:leftChars="0" w:right="270" w:rightChars="0"/>
              <w:jc w:val="both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bahwa untuk kepentingan dinas dipandang perlu dilakukan pemindahan/pengangkatan Ketua, Wakil Ketua dan Hakim Pengadilan Negeri di Lingkungan Peradilan Umum;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1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 w:rightChars="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b.</w:t>
            </w:r>
          </w:p>
        </w:tc>
        <w:tc>
          <w:tcPr>
            <w:tcW w:w="6945" w:type="dxa"/>
            <w:noWrap w:val="0"/>
            <w:vAlign w:val="top"/>
          </w:tcPr>
          <w:p>
            <w:pPr>
              <w:tabs>
                <w:tab w:val="left" w:pos="102"/>
                <w:tab w:val="left" w:pos="2977"/>
                <w:tab w:val="left" w:pos="8820"/>
              </w:tabs>
              <w:spacing w:line="276" w:lineRule="auto"/>
              <w:ind w:left="72" w:leftChars="0" w:right="270" w:rightChars="0"/>
              <w:jc w:val="both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 xml:space="preserve">bahwa nama-nama yang tersebut pada lajur 2 sudah mendapatkan pertimbangan dan persetujuan </w:t>
            </w:r>
            <w:r>
              <w:rPr>
                <w:rFonts w:ascii="Bookman Old Style" w:hAnsi="Bookman Old Style" w:cs="Arial"/>
                <w:color w:val="000000"/>
                <w:lang w:val="id-ID"/>
              </w:rPr>
              <w:t xml:space="preserve">berdasarkan </w:t>
            </w:r>
            <w:r>
              <w:rPr>
                <w:rFonts w:ascii="Bookman Old Style" w:hAnsi="Bookman Old Style" w:cs="Arial"/>
                <w:color w:val="000000"/>
              </w:rPr>
              <w:t xml:space="preserve">Hasil </w:t>
            </w:r>
            <w:r>
              <w:rPr>
                <w:rFonts w:ascii="Bookman Old Style" w:hAnsi="Bookman Old Style" w:cs="Arial"/>
                <w:color w:val="000000"/>
                <w:lang w:val="id-ID"/>
              </w:rPr>
              <w:t xml:space="preserve">Keputusan </w:t>
            </w:r>
            <w:r>
              <w:rPr>
                <w:rFonts w:ascii="Bookman Old Style" w:hAnsi="Bookman Old Style" w:cs="Arial"/>
                <w:color w:val="000000"/>
              </w:rPr>
              <w:t xml:space="preserve"> Rapat Tim Promosi dan Mutasi Hakim Mahkamah Agung R</w:t>
            </w:r>
            <w:r>
              <w:rPr>
                <w:rFonts w:ascii="Bookman Old Style" w:hAnsi="Bookman Old Style" w:cs="Arial"/>
                <w:color w:val="000000"/>
                <w:lang w:val="id-ID"/>
              </w:rPr>
              <w:t>.</w:t>
            </w:r>
            <w:r>
              <w:rPr>
                <w:rFonts w:ascii="Bookman Old Style" w:hAnsi="Bookman Old Style" w:cs="Arial"/>
                <w:color w:val="000000"/>
              </w:rPr>
              <w:t xml:space="preserve">I tanggal </w:t>
            </w:r>
            <w:r>
              <w:rPr>
                <w:rFonts w:hint="default" w:ascii="Bookman Old Style" w:hAnsi="Bookman Old Style" w:cs="Arial"/>
                <w:b/>
                <w:bCs/>
                <w:color w:val="000000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color w:val="000000"/>
              </w:rPr>
              <w:t>TglKeputusan</w:t>
            </w:r>
            <w:r>
              <w:rPr>
                <w:rFonts w:hint="default" w:ascii="Bookman Old Style" w:hAnsi="Bookman Old Style" w:cs="Arial"/>
                <w:b/>
                <w:color w:val="000000"/>
                <w:lang w:val="en-US"/>
              </w:rPr>
              <w:t>}</w:t>
            </w:r>
            <w:r>
              <w:rPr>
                <w:rFonts w:ascii="Bookman Old Style" w:hAnsi="Bookman Old Style" w:cs="Arial"/>
                <w:color w:val="000000"/>
              </w:rPr>
              <w:t>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1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 w:rightChars="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c.</w:t>
            </w:r>
          </w:p>
        </w:tc>
        <w:tc>
          <w:tcPr>
            <w:tcW w:w="6945" w:type="dxa"/>
            <w:noWrap w:val="0"/>
            <w:vAlign w:val="top"/>
          </w:tcPr>
          <w:p>
            <w:pPr>
              <w:tabs>
                <w:tab w:val="left" w:pos="102"/>
                <w:tab w:val="left" w:pos="2977"/>
                <w:tab w:val="left" w:pos="8820"/>
              </w:tabs>
              <w:spacing w:line="276" w:lineRule="auto"/>
              <w:ind w:left="72" w:leftChars="0" w:right="270" w:rightChars="0"/>
              <w:jc w:val="both"/>
              <w:rPr>
                <w:rFonts w:ascii="Bookman Old Style" w:hAnsi="Bookman Old Style" w:cs="Arial"/>
                <w:b/>
                <w:color w:val="000000"/>
                <w:lang w:val="de-DE"/>
              </w:rPr>
            </w:pPr>
            <w:r>
              <w:rPr>
                <w:rFonts w:ascii="Bookman Old Style" w:hAnsi="Bookman Old Style" w:cs="Arial"/>
                <w:color w:val="000000"/>
                <w:lang w:val="de-DE"/>
              </w:rPr>
              <w:t>bahwa formasi serta anggaran belanja Pegawai             yang bersangkutan mengizinkan akan pemindahan/pengangkatan tersebut;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color w:val="000000"/>
                <w:lang w:val="de-DE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  <w:lang w:val="de-DE"/>
              </w:rPr>
            </w:pPr>
          </w:p>
        </w:tc>
        <w:tc>
          <w:tcPr>
            <w:tcW w:w="71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</w:p>
        </w:tc>
        <w:tc>
          <w:tcPr>
            <w:tcW w:w="6945" w:type="dxa"/>
            <w:noWrap w:val="0"/>
            <w:vAlign w:val="top"/>
          </w:tcPr>
          <w:p>
            <w:pPr>
              <w:tabs>
                <w:tab w:val="left" w:pos="102"/>
                <w:tab w:val="left" w:pos="2977"/>
                <w:tab w:val="left" w:pos="8820"/>
              </w:tabs>
              <w:spacing w:line="276" w:lineRule="auto"/>
              <w:ind w:left="72" w:right="270"/>
              <w:jc w:val="center"/>
              <w:rPr>
                <w:rFonts w:ascii="Bookman Old Style" w:hAnsi="Bookman Old Style" w:cs="Arial"/>
                <w:b/>
                <w:color w:val="000000"/>
                <w:lang w:val="de-D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</w:rPr>
              <w:t>Mengingat</w:t>
            </w: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:</w:t>
            </w:r>
          </w:p>
        </w:tc>
        <w:tc>
          <w:tcPr>
            <w:tcW w:w="71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1.</w:t>
            </w:r>
          </w:p>
          <w:p>
            <w:pPr>
              <w:tabs>
                <w:tab w:val="left" w:pos="2977"/>
                <w:tab w:val="left" w:pos="8820"/>
              </w:tabs>
              <w:spacing w:line="276" w:lineRule="auto"/>
              <w:ind w:right="270" w:rightChars="0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6945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leftChars="0" w:right="270" w:rightChars="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Undang-Undang Nomor 2 Tahun 2004 tentang Penyelesaian Perselisihan Hubungan Industrial;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1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 w:rightChars="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2.</w:t>
            </w:r>
          </w:p>
        </w:tc>
        <w:tc>
          <w:tcPr>
            <w:tcW w:w="6945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leftChars="0" w:right="270" w:rightChars="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Undang-Undang Nomor 45 Tahun 2009 tentang Perubahan Atas Undang-Undang Nomor 31 Tahun 2004 tentang Perikanan;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1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 w:rightChars="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3.</w:t>
            </w:r>
          </w:p>
        </w:tc>
        <w:tc>
          <w:tcPr>
            <w:tcW w:w="6945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leftChars="0" w:right="270" w:rightChars="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Undang-Undang Nomor 37 Tahun 2004 tentang Kepailitan dan Penundaan Kewajiban Pembayaran Utang;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1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 w:rightChars="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4.</w:t>
            </w:r>
          </w:p>
        </w:tc>
        <w:tc>
          <w:tcPr>
            <w:tcW w:w="6945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leftChars="0" w:right="270" w:rightChars="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Undang-Undang Nomor 3 Tahun 2009 tentang Perubahan Kedua Atas Undang-Undang Nomor 14 Tahun 1985 tentang Mahkamah Agung;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1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 w:rightChars="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5.</w:t>
            </w:r>
          </w:p>
        </w:tc>
        <w:tc>
          <w:tcPr>
            <w:tcW w:w="6945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leftChars="0" w:right="270" w:rightChars="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Undang-Undang Nomor 46 Tahun 2009 tentang Pengadilan Tindak Pidana Korupsi;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1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 w:rightChars="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6.</w:t>
            </w:r>
          </w:p>
        </w:tc>
        <w:tc>
          <w:tcPr>
            <w:tcW w:w="6945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leftChars="0" w:right="270" w:rightChars="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  <w:lang w:val="de-DE"/>
              </w:rPr>
              <w:t>Undang-Undang Nomor 48 Tahun 2009 tentang Kekuasaan Kehakiman;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1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 w:rightChars="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7.</w:t>
            </w:r>
          </w:p>
        </w:tc>
        <w:tc>
          <w:tcPr>
            <w:tcW w:w="6945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leftChars="0" w:right="270" w:rightChars="0"/>
              <w:jc w:val="both"/>
              <w:rPr>
                <w:rFonts w:ascii="Bookman Old Style" w:hAnsi="Bookman Old Style" w:cs="Arial"/>
                <w:color w:val="000000"/>
                <w:lang w:val="de-DE"/>
              </w:rPr>
            </w:pPr>
            <w:r>
              <w:rPr>
                <w:rFonts w:ascii="Bookman Old Style" w:hAnsi="Bookman Old Style" w:cs="Arial"/>
                <w:color w:val="000000"/>
              </w:rPr>
              <w:t>Undang-Undang Nomor 49 Tahun 2009 tentang Perubahan Kedua Atas Undang-Undang Nomor  2 Tahun 1986 tentang Peradilan Umum;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  <w:lang w:val="de-DE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  <w:lang w:val="de-DE"/>
              </w:rPr>
            </w:pPr>
          </w:p>
        </w:tc>
        <w:tc>
          <w:tcPr>
            <w:tcW w:w="71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 w:rightChars="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8.</w:t>
            </w:r>
          </w:p>
        </w:tc>
        <w:tc>
          <w:tcPr>
            <w:tcW w:w="6945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leftChars="0" w:right="270" w:rightChars="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Undang-Undang Nomor 5 Tahun 2014 tentang Aparatur Sipil Negara;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1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6945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1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6945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right="270"/>
              <w:jc w:val="right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  <w:lang w:val="id-ID"/>
              </w:rPr>
              <w:t>9</w:t>
            </w:r>
            <w:r>
              <w:rPr>
                <w:rFonts w:ascii="Bookman Old Style" w:hAnsi="Bookman Old Style" w:cs="Arial"/>
                <w:b/>
                <w:color w:val="000000"/>
              </w:rPr>
              <w:t>. Peraturan ……………</w:t>
            </w:r>
          </w:p>
        </w:tc>
      </w:tr>
    </w:tbl>
    <w:p>
      <w:pPr>
        <w:spacing w:line="276" w:lineRule="auto"/>
        <w:ind w:right="270"/>
        <w:jc w:val="center"/>
        <w:rPr>
          <w:b/>
        </w:rPr>
      </w:pPr>
      <w:r>
        <w:rPr>
          <w:b/>
        </w:rPr>
        <w:br w:type="page"/>
      </w:r>
      <w:r>
        <w:rPr>
          <w:b/>
        </w:rPr>
        <w:t>– 2 –</w:t>
      </w:r>
    </w:p>
    <w:p>
      <w:pPr>
        <w:ind w:right="270"/>
      </w:pPr>
    </w:p>
    <w:tbl>
      <w:tblPr>
        <w:tblStyle w:val="3"/>
        <w:tblW w:w="10213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330"/>
        <w:gridCol w:w="1010"/>
        <w:gridCol w:w="72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101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 w:rightChars="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  <w:lang w:val="id-ID"/>
              </w:rPr>
              <w:t>9</w:t>
            </w:r>
            <w:r>
              <w:rPr>
                <w:rFonts w:ascii="Bookman Old Style" w:hAnsi="Bookman Old Style" w:cs="Arial"/>
                <w:color w:val="000000"/>
              </w:rPr>
              <w:t>.</w:t>
            </w:r>
          </w:p>
        </w:tc>
        <w:tc>
          <w:tcPr>
            <w:tcW w:w="7236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leftChars="0" w:right="270" w:rightChars="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Peraturan Pemerintah Nomor  41 Tahun 2002 tentang Kenaikan Jabatan dan Pangkat Hakim;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101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 w:rightChars="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1</w:t>
            </w:r>
            <w:r>
              <w:rPr>
                <w:rFonts w:ascii="Bookman Old Style" w:hAnsi="Bookman Old Style" w:cs="Arial"/>
                <w:color w:val="000000"/>
                <w:lang w:val="id-ID"/>
              </w:rPr>
              <w:t>0</w:t>
            </w:r>
            <w:r>
              <w:rPr>
                <w:rFonts w:ascii="Bookman Old Style" w:hAnsi="Bookman Old Style" w:cs="Arial"/>
                <w:color w:val="000000"/>
              </w:rPr>
              <w:t>.</w:t>
            </w:r>
          </w:p>
        </w:tc>
        <w:tc>
          <w:tcPr>
            <w:tcW w:w="7236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leftChars="0" w:right="270" w:rightChars="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 xml:space="preserve">Peraturan  Pemerintah  </w:t>
            </w:r>
            <w:r>
              <w:rPr>
                <w:rFonts w:ascii="Bookman Old Style" w:hAnsi="Bookman Old Style" w:cs="Arial"/>
                <w:color w:val="000000"/>
                <w:lang w:val="id-ID"/>
              </w:rPr>
              <w:t xml:space="preserve">Nomor 74 Tahun 2016 tentang Perubahan Atas Peraturan Pemerintah </w:t>
            </w:r>
            <w:r>
              <w:rPr>
                <w:rFonts w:ascii="Bookman Old Style" w:hAnsi="Bookman Old Style" w:cs="Arial"/>
                <w:color w:val="000000"/>
              </w:rPr>
              <w:t xml:space="preserve">Nomor </w:t>
            </w:r>
            <w:r>
              <w:rPr>
                <w:rFonts w:ascii="Bookman Old Style" w:hAnsi="Bookman Old Style" w:cs="Arial"/>
                <w:color w:val="000000"/>
                <w:lang w:val="id-ID"/>
              </w:rPr>
              <w:t>94</w:t>
            </w:r>
            <w:r>
              <w:rPr>
                <w:rFonts w:ascii="Bookman Old Style" w:hAnsi="Bookman Old Style" w:cs="Arial"/>
                <w:color w:val="000000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lang w:val="id-ID"/>
              </w:rPr>
              <w:t>12</w:t>
            </w:r>
            <w:r>
              <w:rPr>
                <w:rFonts w:ascii="Bookman Old Style" w:hAnsi="Bookman Old Style" w:cs="Arial"/>
                <w:color w:val="000000"/>
              </w:rPr>
              <w:t xml:space="preserve"> tentang </w:t>
            </w:r>
            <w:r>
              <w:rPr>
                <w:rFonts w:ascii="Bookman Old Style" w:hAnsi="Bookman Old Style" w:cs="Arial"/>
                <w:color w:val="000000"/>
                <w:lang w:val="id-ID"/>
              </w:rPr>
              <w:t>Hak Keuangan dan Fasilitas Hakim yang Berada di Bawah Mahkamah Agung</w:t>
            </w:r>
            <w:r>
              <w:rPr>
                <w:rFonts w:ascii="Bookman Old Style" w:hAnsi="Bookman Old Style" w:cs="Arial"/>
                <w:color w:val="000000"/>
              </w:rPr>
              <w:t>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101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 w:rightChars="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1</w:t>
            </w:r>
            <w:r>
              <w:rPr>
                <w:rFonts w:ascii="Bookman Old Style" w:hAnsi="Bookman Old Style" w:cs="Arial"/>
                <w:color w:val="000000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</w:rPr>
              <w:t>.</w:t>
            </w:r>
          </w:p>
        </w:tc>
        <w:tc>
          <w:tcPr>
            <w:tcW w:w="7236" w:type="dxa"/>
            <w:noWrap w:val="0"/>
            <w:vAlign w:val="top"/>
          </w:tcPr>
          <w:p>
            <w:pPr>
              <w:tabs>
                <w:tab w:val="left" w:pos="-108"/>
                <w:tab w:val="left" w:pos="102"/>
                <w:tab w:val="left" w:pos="8820"/>
              </w:tabs>
              <w:spacing w:line="276" w:lineRule="auto"/>
              <w:ind w:left="72" w:leftChars="0" w:right="270" w:rightChars="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  <w:lang w:val="id-ID"/>
              </w:rPr>
              <w:t>Peraturan Pemerintah Nomor 1</w:t>
            </w:r>
            <w:r>
              <w:rPr>
                <w:rFonts w:ascii="Bookman Old Style" w:hAnsi="Bookman Old Style" w:cs="Arial"/>
                <w:color w:val="000000"/>
              </w:rPr>
              <w:t>7</w:t>
            </w:r>
            <w:r>
              <w:rPr>
                <w:rFonts w:ascii="Bookman Old Style" w:hAnsi="Bookman Old Style" w:cs="Arial"/>
                <w:color w:val="000000"/>
                <w:lang w:val="id-ID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</w:rPr>
              <w:t xml:space="preserve">20 tentang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>P</w:t>
            </w:r>
            <w:r>
              <w:rPr>
                <w:rFonts w:ascii="Bookman Old Style" w:hAnsi="Bookman Old Style" w:cs="Arial"/>
                <w:color w:val="000000"/>
              </w:rPr>
              <w:t xml:space="preserve">erubahan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>A</w:t>
            </w:r>
            <w:r>
              <w:rPr>
                <w:rFonts w:ascii="Bookman Old Style" w:hAnsi="Bookman Old Style" w:cs="Arial"/>
                <w:color w:val="000000"/>
              </w:rPr>
              <w:t>tas</w:t>
            </w:r>
            <w:r>
              <w:rPr>
                <w:rFonts w:ascii="Bookman Old Style" w:hAnsi="Bookman Old Style" w:cs="Arial"/>
                <w:color w:val="000000"/>
                <w:lang w:val="id-ID"/>
              </w:rPr>
              <w:t xml:space="preserve"> Peraturan Pemerintah Nomor 11 Tahun 2017 tentang Manajemen Pegawai Negeri Sipil;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101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 w:rightChars="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1</w:t>
            </w:r>
            <w:r>
              <w:rPr>
                <w:rFonts w:ascii="Bookman Old Style" w:hAnsi="Bookman Old Style" w:cs="Arial"/>
                <w:color w:val="000000"/>
                <w:lang w:val="id-ID"/>
              </w:rPr>
              <w:t>2</w:t>
            </w:r>
            <w:r>
              <w:rPr>
                <w:rFonts w:ascii="Bookman Old Style" w:hAnsi="Bookman Old Style" w:cs="Arial"/>
                <w:color w:val="000000"/>
              </w:rPr>
              <w:t>.</w:t>
            </w:r>
          </w:p>
        </w:tc>
        <w:tc>
          <w:tcPr>
            <w:tcW w:w="7236" w:type="dxa"/>
            <w:noWrap w:val="0"/>
            <w:vAlign w:val="top"/>
          </w:tcPr>
          <w:p>
            <w:pPr>
              <w:tabs>
                <w:tab w:val="left" w:pos="-108"/>
                <w:tab w:val="left" w:pos="102"/>
                <w:tab w:val="left" w:pos="8820"/>
              </w:tabs>
              <w:spacing w:line="276" w:lineRule="auto"/>
              <w:ind w:left="72" w:leftChars="0" w:right="270" w:rightChars="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Keputusan Ketua Mahkamah Agung RI Nomor 125/KMA/SK/IX/2009 tanggal 2 September 2009 tentang Pendelegasian Sebagian Wewenang Kepada Para Pejabat Eselon I dan Ketua Pengadilan Tingkat Banding di Lingkungan Mahkamah Agung</w:t>
            </w:r>
            <w:r>
              <w:rPr>
                <w:rFonts w:ascii="Bookman Old Style" w:hAnsi="Bookman Old Style" w:cs="Arial"/>
                <w:color w:val="000000"/>
                <w:lang w:val="id-ID"/>
              </w:rPr>
              <w:t xml:space="preserve"> untuk Penandatanganan</w:t>
            </w:r>
            <w:r>
              <w:rPr>
                <w:rFonts w:ascii="Bookman Old Style" w:hAnsi="Bookman Old Style" w:cs="Arial"/>
                <w:color w:val="000000"/>
              </w:rPr>
              <w:t xml:space="preserve"> di Bidang Kepegawaian;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101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 w:rightChars="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13.</w:t>
            </w:r>
          </w:p>
        </w:tc>
        <w:tc>
          <w:tcPr>
            <w:tcW w:w="7236" w:type="dxa"/>
            <w:noWrap w:val="0"/>
            <w:vAlign w:val="top"/>
          </w:tcPr>
          <w:p>
            <w:pPr>
              <w:tabs>
                <w:tab w:val="left" w:pos="-108"/>
                <w:tab w:val="left" w:pos="102"/>
                <w:tab w:val="left" w:pos="8820"/>
              </w:tabs>
              <w:spacing w:line="276" w:lineRule="auto"/>
              <w:ind w:left="72" w:leftChars="0" w:right="270" w:rightChars="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Keputusan Ketua Mahkamah Agung R.I. Nomor 48/KMA/SK/II/2017 tanggal 17 Februari 2017 tentang Pola Promosi dan Mutasi Hakim pada Empat Lingkungan Peradilan;</w:t>
            </w:r>
          </w:p>
        </w:tc>
      </w:tr>
    </w:tbl>
    <w:p>
      <w:pPr>
        <w:spacing w:line="276" w:lineRule="auto"/>
        <w:ind w:right="270"/>
      </w:pPr>
    </w:p>
    <w:tbl>
      <w:tblPr>
        <w:tblStyle w:val="3"/>
        <w:tblW w:w="1018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291"/>
        <w:gridCol w:w="787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  <w:gridSpan w:val="3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2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879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both"/>
              <w:rPr>
                <w:rFonts w:ascii="Bookman Old Style" w:hAnsi="Bookman Old Style" w:cs="Arial"/>
                <w:b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Menetapkan</w:t>
            </w:r>
          </w:p>
        </w:tc>
        <w:tc>
          <w:tcPr>
            <w:tcW w:w="2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:</w:t>
            </w:r>
          </w:p>
        </w:tc>
        <w:tc>
          <w:tcPr>
            <w:tcW w:w="7879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 w:rightChars="0"/>
              <w:jc w:val="both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KEPUTUSAN KETUA MAHKAMAH AGUNG TENTANG PROMOSI DAN MUTASI 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2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879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 w:rightChars="0"/>
              <w:jc w:val="both"/>
              <w:rPr>
                <w:rFonts w:ascii="Bookman Old Style" w:hAnsi="Bookman Old Style" w:cs="Arial"/>
                <w:b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</w:rPr>
              <w:t>KESATU</w:t>
            </w:r>
          </w:p>
        </w:tc>
        <w:tc>
          <w:tcPr>
            <w:tcW w:w="2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:</w:t>
            </w:r>
          </w:p>
        </w:tc>
        <w:tc>
          <w:tcPr>
            <w:tcW w:w="7879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 w:leftChars="0" w:right="270" w:rightChars="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2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879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 w:leftChars="0" w:right="270" w:rightChars="0"/>
              <w:jc w:val="both"/>
              <w:rPr>
                <w:rFonts w:ascii="Bookman Old Style" w:hAnsi="Bookman Old Style" w:cs="Arial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</w:rPr>
              <w:t>KEDUA</w:t>
            </w:r>
          </w:p>
        </w:tc>
        <w:tc>
          <w:tcPr>
            <w:tcW w:w="2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:</w:t>
            </w:r>
          </w:p>
        </w:tc>
        <w:tc>
          <w:tcPr>
            <w:tcW w:w="7879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 w:leftChars="0" w:right="270" w:rightChars="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2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879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 w:leftChars="0" w:right="270" w:rightChars="0"/>
              <w:jc w:val="both"/>
              <w:rPr>
                <w:rFonts w:ascii="Bookman Old Style" w:hAnsi="Bookman Old Style" w:cs="Arial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</w:rPr>
              <w:t>KETIGA</w:t>
            </w:r>
          </w:p>
        </w:tc>
        <w:tc>
          <w:tcPr>
            <w:tcW w:w="2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:</w:t>
            </w:r>
          </w:p>
        </w:tc>
        <w:tc>
          <w:tcPr>
            <w:tcW w:w="7879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 w:leftChars="0" w:right="270" w:rightChars="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2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879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 w:leftChars="0" w:right="270" w:rightChars="0"/>
              <w:jc w:val="both"/>
              <w:rPr>
                <w:rFonts w:ascii="Bookman Old Style" w:hAnsi="Bookman Old Style" w:cs="Arial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2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879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wordWrap w:val="0"/>
              <w:spacing w:line="276" w:lineRule="auto"/>
              <w:ind w:left="72" w:right="270"/>
              <w:jc w:val="right"/>
              <w:rPr>
                <w:rFonts w:hint="default" w:ascii="Bookman Old Style" w:hAnsi="Bookman Old Style" w:cs="Arial"/>
                <w:color w:val="000000"/>
                <w:lang w:val="en-US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</w:rPr>
              <w:t>KEEMPAT</w:t>
            </w:r>
            <w:r>
              <w:rPr>
                <w:rFonts w:hint="default" w:ascii="Bookman Old Style" w:hAnsi="Bookman Old Style" w:cs="Arial"/>
                <w:b/>
                <w:bCs/>
                <w:color w:val="000000"/>
                <w:lang w:val="en-US"/>
              </w:rPr>
              <w:t>: …………….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2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879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</w:p>
        </w:tc>
      </w:tr>
    </w:tbl>
    <w:p>
      <w:r>
        <w:br w:type="page"/>
      </w:r>
    </w:p>
    <w:p>
      <w:pPr>
        <w:jc w:val="center"/>
        <w:rPr>
          <w:rFonts w:hint="default" w:ascii="Bookman Old Style" w:hAnsi="Bookman Old Style" w:cs="Bookman Old Style"/>
          <w:lang w:val="en-US"/>
        </w:rPr>
      </w:pPr>
      <w:r>
        <w:rPr>
          <w:rFonts w:hint="default" w:ascii="Bookman Old Style" w:hAnsi="Bookman Old Style" w:cs="Bookman Old Style"/>
          <w:lang w:val="en-US"/>
        </w:rPr>
        <w:t>-3-</w:t>
      </w:r>
    </w:p>
    <w:p>
      <w:pPr>
        <w:jc w:val="center"/>
        <w:rPr>
          <w:rFonts w:hint="default"/>
          <w:lang w:val="en-US"/>
        </w:rPr>
      </w:pPr>
    </w:p>
    <w:tbl>
      <w:tblPr>
        <w:tblStyle w:val="3"/>
        <w:tblW w:w="99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71"/>
        <w:gridCol w:w="303"/>
        <w:gridCol w:w="1119"/>
        <w:gridCol w:w="537"/>
        <w:gridCol w:w="600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</w:rPr>
              <w:t>KEEMPAT</w:t>
            </w:r>
          </w:p>
        </w:tc>
        <w:tc>
          <w:tcPr>
            <w:tcW w:w="303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:</w:t>
            </w:r>
          </w:p>
        </w:tc>
        <w:tc>
          <w:tcPr>
            <w:tcW w:w="7663" w:type="dxa"/>
            <w:gridSpan w:val="3"/>
            <w:noWrap w:val="0"/>
            <w:vAlign w:val="top"/>
          </w:tcPr>
          <w:p>
            <w:pPr>
              <w:tabs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Segala biaya yang bertalian dengan pemindahan ini ditanggung oleh Negar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>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>kecuali nomor urut ${biaya}</w:t>
            </w:r>
            <w:r>
              <w:rPr>
                <w:rFonts w:ascii="Bookman Old Style" w:hAnsi="Bookman Old Style" w:cs="Arial"/>
                <w:color w:val="000000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03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663" w:type="dxa"/>
            <w:gridSpan w:val="3"/>
            <w:noWrap w:val="0"/>
            <w:vAlign w:val="top"/>
          </w:tcPr>
          <w:p>
            <w:pPr>
              <w:tabs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</w:rPr>
              <w:t>KELIMA</w:t>
            </w:r>
          </w:p>
        </w:tc>
        <w:tc>
          <w:tcPr>
            <w:tcW w:w="303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:</w:t>
            </w:r>
          </w:p>
        </w:tc>
        <w:tc>
          <w:tcPr>
            <w:tcW w:w="7663" w:type="dxa"/>
            <w:gridSpan w:val="3"/>
            <w:noWrap w:val="0"/>
            <w:vAlign w:val="top"/>
          </w:tcPr>
          <w:p>
            <w:pPr>
              <w:tabs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03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663" w:type="dxa"/>
            <w:gridSpan w:val="3"/>
            <w:noWrap w:val="0"/>
            <w:vAlign w:val="top"/>
          </w:tcPr>
          <w:p>
            <w:pPr>
              <w:tabs>
                <w:tab w:val="left" w:pos="-108"/>
                <w:tab w:val="left" w:pos="7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574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1656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PETIKAN</w:t>
            </w:r>
          </w:p>
        </w:tc>
        <w:tc>
          <w:tcPr>
            <w:tcW w:w="6007" w:type="dxa"/>
            <w:noWrap w:val="0"/>
            <w:vAlign w:val="top"/>
          </w:tcPr>
          <w:p>
            <w:pPr>
              <w:tabs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574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1119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6544" w:type="dxa"/>
            <w:gridSpan w:val="2"/>
            <w:noWrap w:val="0"/>
            <w:vAlign w:val="top"/>
          </w:tcPr>
          <w:p>
            <w:pPr>
              <w:tabs>
                <w:tab w:val="left" w:pos="-108"/>
                <w:tab w:val="left" w:pos="8820"/>
              </w:tabs>
              <w:spacing w:line="276" w:lineRule="auto"/>
              <w:ind w:left="-108"/>
              <w:jc w:val="both"/>
              <w:rPr>
                <w:rFonts w:ascii="Bookman Old Style" w:hAnsi="Bookman Old Style" w:cs="Arial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574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1119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6544" w:type="dxa"/>
            <w:gridSpan w:val="2"/>
            <w:noWrap w:val="0"/>
            <w:vAlign w:val="top"/>
          </w:tcPr>
          <w:p>
            <w:pPr>
              <w:tabs>
                <w:tab w:val="left" w:pos="-108"/>
                <w:tab w:val="left" w:pos="8820"/>
              </w:tabs>
              <w:spacing w:line="276" w:lineRule="auto"/>
              <w:ind w:left="-108"/>
              <w:jc w:val="both"/>
              <w:rPr>
                <w:rFonts w:ascii="Bookman Old Style" w:hAnsi="Bookman Old Style" w:cs="Arial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1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6544" w:type="dxa"/>
            <w:gridSpan w:val="2"/>
            <w:noWrap w:val="0"/>
            <w:vAlign w:val="top"/>
          </w:tcPr>
          <w:p>
            <w:pPr>
              <w:tabs>
                <w:tab w:val="left" w:pos="8820"/>
              </w:tabs>
              <w:spacing w:line="276" w:lineRule="auto"/>
              <w:ind w:left="133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1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6544" w:type="dxa"/>
            <w:gridSpan w:val="2"/>
            <w:noWrap w:val="0"/>
            <w:vAlign w:val="top"/>
          </w:tcPr>
          <w:p>
            <w:pPr>
              <w:tabs>
                <w:tab w:val="left" w:pos="8820"/>
              </w:tabs>
              <w:spacing w:line="276" w:lineRule="auto"/>
              <w:ind w:left="1330"/>
              <w:jc w:val="both"/>
              <w:rPr>
                <w:rFonts w:hint="default" w:ascii="Bookman Old Style" w:hAnsi="Bookman Old Style" w:cs="Arial"/>
                <w:color w:val="000000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bCs/>
                <w:color w:val="000000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bCs/>
                <w:color w:val="000000"/>
              </w:rPr>
              <w:t>T</w:t>
            </w:r>
            <w:r>
              <w:rPr>
                <w:rFonts w:ascii="Bookman Old Style" w:hAnsi="Bookman Old Style" w:cs="Arial"/>
                <w:b/>
                <w:color w:val="000000"/>
              </w:rPr>
              <w:t>glTTD</w:t>
            </w:r>
            <w:r>
              <w:rPr>
                <w:rFonts w:hint="default" w:ascii="Bookman Old Style" w:hAnsi="Bookman Old Style" w:cs="Arial"/>
                <w:b/>
                <w:color w:val="000000"/>
                <w:lang w:val="en-US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1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6544" w:type="dxa"/>
            <w:gridSpan w:val="2"/>
            <w:noWrap w:val="0"/>
            <w:vAlign w:val="top"/>
          </w:tcPr>
          <w:p>
            <w:pPr>
              <w:tabs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1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6544" w:type="dxa"/>
            <w:gridSpan w:val="2"/>
            <w:noWrap w:val="0"/>
            <w:vAlign w:val="top"/>
          </w:tcPr>
          <w:p>
            <w:pPr>
              <w:tabs>
                <w:tab w:val="left" w:pos="8820"/>
              </w:tabs>
              <w:spacing w:line="276" w:lineRule="auto"/>
              <w:ind w:left="-110" w:right="-108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</w:rPr>
              <w:t>a.n. KETUA MAHKAMAH AGUNG RI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1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6544" w:type="dxa"/>
            <w:gridSpan w:val="2"/>
            <w:noWrap w:val="0"/>
            <w:vAlign w:val="top"/>
          </w:tcPr>
          <w:p>
            <w:pPr>
              <w:tabs>
                <w:tab w:val="left" w:pos="8820"/>
              </w:tabs>
              <w:spacing w:line="276" w:lineRule="auto"/>
              <w:ind w:left="-110" w:right="-108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1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6544" w:type="dxa"/>
            <w:gridSpan w:val="2"/>
            <w:noWrap w:val="0"/>
            <w:vAlign w:val="top"/>
          </w:tcPr>
          <w:p>
            <w:pPr>
              <w:tabs>
                <w:tab w:val="left" w:pos="8820"/>
              </w:tabs>
              <w:spacing w:line="360" w:lineRule="auto"/>
              <w:ind w:left="-110" w:right="-108"/>
              <w:jc w:val="center"/>
              <w:rPr>
                <w:rFonts w:ascii="Bookman Old Style" w:hAnsi="Bookman Old Style" w:cs="Arial"/>
                <w:b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1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6544" w:type="dxa"/>
            <w:gridSpan w:val="2"/>
            <w:noWrap w:val="0"/>
            <w:vAlign w:val="top"/>
          </w:tcPr>
          <w:p>
            <w:pPr>
              <w:tabs>
                <w:tab w:val="left" w:pos="8820"/>
              </w:tabs>
              <w:spacing w:line="360" w:lineRule="auto"/>
              <w:ind w:left="-110" w:right="-108"/>
              <w:jc w:val="center"/>
              <w:rPr>
                <w:rFonts w:hint="default" w:ascii="Bookman Old Style" w:hAnsi="Bookman Old Style" w:cs="Arial"/>
                <w:b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lang w:val="en-US"/>
              </w:rPr>
              <w:t>${qrcode}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1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6544" w:type="dxa"/>
            <w:gridSpan w:val="2"/>
            <w:noWrap w:val="0"/>
            <w:vAlign w:val="top"/>
          </w:tcPr>
          <w:p>
            <w:pPr>
              <w:tabs>
                <w:tab w:val="left" w:pos="8820"/>
              </w:tabs>
              <w:spacing w:line="360" w:lineRule="auto"/>
              <w:ind w:left="-110" w:right="-108"/>
              <w:jc w:val="center"/>
              <w:rPr>
                <w:rFonts w:hint="default" w:ascii="Bookman Old Style" w:hAnsi="Bookman Old Style" w:cs="Arial"/>
                <w:b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</w:rPr>
              <w:t>NamaDirjen</w:t>
            </w:r>
            <w:r>
              <w:rPr>
                <w:rFonts w:hint="default" w:ascii="Bookman Old Style" w:hAnsi="Bookman Old Style" w:cs="Arial"/>
                <w:b/>
                <w:lang w:val="en-US"/>
              </w:rPr>
              <w:t>}</w:t>
            </w:r>
          </w:p>
        </w:tc>
      </w:tr>
    </w:tbl>
    <w:p>
      <w:pPr>
        <w:tabs>
          <w:tab w:val="right" w:pos="-1800"/>
          <w:tab w:val="left" w:pos="6946"/>
          <w:tab w:val="left" w:pos="8820"/>
        </w:tabs>
        <w:spacing w:line="276" w:lineRule="auto"/>
        <w:ind w:left="3740" w:right="-104"/>
        <w:jc w:val="center"/>
        <w:rPr>
          <w:rFonts w:ascii="Bookman Old Style" w:hAnsi="Bookman Old Style" w:cs="Arial"/>
          <w:b/>
          <w:color w:val="000000"/>
          <w:lang w:val="id-ID"/>
        </w:rPr>
      </w:pPr>
    </w:p>
    <w:p>
      <w:pPr>
        <w:tabs>
          <w:tab w:val="right" w:pos="-1800"/>
          <w:tab w:val="left" w:pos="8820"/>
        </w:tabs>
        <w:spacing w:line="360" w:lineRule="auto"/>
        <w:rPr>
          <w:rFonts w:ascii="Bookman Old Style" w:hAnsi="Bookman Old Style" w:cs="Arial"/>
          <w:color w:val="000000"/>
        </w:rPr>
      </w:pPr>
      <w:r>
        <w:rPr>
          <w:rFonts w:ascii="Bookman Old Style" w:hAnsi="Bookman Old Style" w:cs="Arial"/>
          <w:b/>
          <w:color w:val="000000"/>
        </w:rPr>
        <w:t xml:space="preserve">SALINAN </w:t>
      </w:r>
      <w:r>
        <w:rPr>
          <w:rFonts w:ascii="Bookman Old Style" w:hAnsi="Bookman Old Style" w:cs="Arial"/>
          <w:color w:val="000000"/>
        </w:rPr>
        <w:t>Keputusan ini disampaikan kepada :</w:t>
      </w:r>
    </w:p>
    <w:p>
      <w:pPr>
        <w:numPr>
          <w:ilvl w:val="0"/>
          <w:numId w:val="2"/>
        </w:numPr>
        <w:tabs>
          <w:tab w:val="right" w:pos="-1800"/>
          <w:tab w:val="left" w:pos="450"/>
          <w:tab w:val="left" w:pos="8820"/>
        </w:tabs>
        <w:overflowPunct w:val="0"/>
        <w:autoSpaceDE w:val="0"/>
        <w:autoSpaceDN w:val="0"/>
        <w:adjustRightInd w:val="0"/>
        <w:spacing w:line="276" w:lineRule="auto"/>
        <w:ind w:left="450" w:right="-345" w:hanging="450"/>
        <w:textAlignment w:val="baseline"/>
        <w:rPr>
          <w:rFonts w:ascii="Bookman Old Style" w:hAnsi="Bookman Old Style" w:cs="Arial"/>
          <w:color w:val="000000"/>
        </w:rPr>
      </w:pPr>
      <w:r>
        <w:rPr>
          <w:rFonts w:ascii="Bookman Old Style" w:hAnsi="Bookman Old Style" w:cs="Arial"/>
          <w:color w:val="000000"/>
        </w:rPr>
        <w:t>Ketua Mahkamah Agung RI di Jakarta.</w:t>
      </w:r>
    </w:p>
    <w:p>
      <w:pPr>
        <w:numPr>
          <w:ilvl w:val="0"/>
          <w:numId w:val="2"/>
        </w:numPr>
        <w:tabs>
          <w:tab w:val="right" w:pos="-1800"/>
          <w:tab w:val="left" w:pos="450"/>
          <w:tab w:val="left" w:pos="540"/>
          <w:tab w:val="left" w:pos="5400"/>
        </w:tabs>
        <w:overflowPunct w:val="0"/>
        <w:autoSpaceDE w:val="0"/>
        <w:autoSpaceDN w:val="0"/>
        <w:adjustRightInd w:val="0"/>
        <w:spacing w:line="276" w:lineRule="auto"/>
        <w:ind w:left="450" w:right="-345" w:hanging="450"/>
        <w:textAlignment w:val="baseline"/>
        <w:rPr>
          <w:rFonts w:ascii="Bookman Old Style" w:hAnsi="Bookman Old Style" w:cs="Arial"/>
          <w:color w:val="000000"/>
        </w:rPr>
      </w:pPr>
      <w:r>
        <w:rPr>
          <w:rFonts w:ascii="Bookman Old Style" w:hAnsi="Bookman Old Style" w:cs="Arial"/>
          <w:color w:val="000000"/>
        </w:rPr>
        <w:t>Sekretaris Mahkamah Agung RI di Jakarta.</w:t>
      </w:r>
    </w:p>
    <w:p>
      <w:pPr>
        <w:numPr>
          <w:ilvl w:val="0"/>
          <w:numId w:val="2"/>
        </w:numPr>
        <w:tabs>
          <w:tab w:val="right" w:pos="-1800"/>
          <w:tab w:val="left" w:pos="450"/>
          <w:tab w:val="left" w:pos="540"/>
          <w:tab w:val="left" w:pos="5400"/>
        </w:tabs>
        <w:overflowPunct w:val="0"/>
        <w:autoSpaceDE w:val="0"/>
        <w:autoSpaceDN w:val="0"/>
        <w:adjustRightInd w:val="0"/>
        <w:spacing w:line="276" w:lineRule="auto"/>
        <w:ind w:left="450" w:right="-345" w:hanging="450"/>
        <w:textAlignment w:val="baseline"/>
        <w:rPr>
          <w:rFonts w:ascii="Bookman Old Style" w:hAnsi="Bookman Old Style" w:cs="Arial"/>
          <w:color w:val="000000"/>
        </w:rPr>
      </w:pPr>
      <w:r>
        <w:rPr>
          <w:rFonts w:ascii="Bookman Old Style" w:hAnsi="Bookman Old Style" w:cs="Arial"/>
          <w:color w:val="000000"/>
        </w:rPr>
        <w:t>Kepala Badan Pengawasan Mahkamah Agung RI di  Jakarta.</w:t>
      </w:r>
    </w:p>
    <w:p>
      <w:pPr>
        <w:numPr>
          <w:ilvl w:val="0"/>
          <w:numId w:val="2"/>
        </w:numPr>
        <w:tabs>
          <w:tab w:val="right" w:pos="-1800"/>
          <w:tab w:val="left" w:pos="450"/>
          <w:tab w:val="left" w:pos="540"/>
          <w:tab w:val="left" w:pos="5400"/>
        </w:tabs>
        <w:overflowPunct w:val="0"/>
        <w:autoSpaceDE w:val="0"/>
        <w:autoSpaceDN w:val="0"/>
        <w:adjustRightInd w:val="0"/>
        <w:spacing w:line="276" w:lineRule="auto"/>
        <w:ind w:left="450" w:right="-345" w:hanging="450"/>
        <w:textAlignment w:val="baseline"/>
        <w:rPr>
          <w:rFonts w:ascii="Bookman Old Style" w:hAnsi="Bookman Old Style" w:cs="Arial"/>
          <w:color w:val="000000"/>
        </w:rPr>
      </w:pPr>
      <w:r>
        <w:rPr>
          <w:rFonts w:ascii="Bookman Old Style" w:hAnsi="Bookman Old Style" w:cs="Arial"/>
          <w:color w:val="000000"/>
        </w:rPr>
        <w:t>Kepala Badan Kepegawaian Negara di Jakarta.</w:t>
      </w:r>
    </w:p>
    <w:p>
      <w:pPr>
        <w:numPr>
          <w:ilvl w:val="0"/>
          <w:numId w:val="2"/>
        </w:numPr>
        <w:tabs>
          <w:tab w:val="right" w:pos="-1800"/>
          <w:tab w:val="left" w:pos="450"/>
          <w:tab w:val="left" w:pos="540"/>
        </w:tabs>
        <w:overflowPunct w:val="0"/>
        <w:autoSpaceDE w:val="0"/>
        <w:autoSpaceDN w:val="0"/>
        <w:adjustRightInd w:val="0"/>
        <w:spacing w:line="276" w:lineRule="auto"/>
        <w:ind w:left="450" w:right="-345" w:hanging="450"/>
        <w:textAlignment w:val="baseline"/>
        <w:rPr>
          <w:rFonts w:ascii="Bookman Old Style" w:hAnsi="Bookman Old Style" w:cs="Arial"/>
          <w:color w:val="000000"/>
        </w:rPr>
      </w:pPr>
      <w:r>
        <w:rPr>
          <w:rFonts w:ascii="Bookman Old Style" w:hAnsi="Bookman Old Style" w:cs="Arial"/>
          <w:color w:val="000000"/>
        </w:rPr>
        <w:t>Ketua Pengadilan Tinggi</w:t>
      </w:r>
      <w:r>
        <w:rPr>
          <w:rFonts w:ascii="Bookman Old Style" w:hAnsi="Bookman Old Style" w:cs="Arial"/>
          <w:b/>
          <w:color w:val="000000"/>
        </w:rPr>
        <w:t xml:space="preserve"> </w:t>
      </w:r>
      <w:r>
        <w:rPr>
          <w:rFonts w:hint="default" w:ascii="Bookman Old Style" w:hAnsi="Bookman Old Style" w:cs="Arial"/>
          <w:b/>
          <w:color w:val="000000"/>
          <w:lang w:val="en-US"/>
        </w:rPr>
        <w:t>yang bersangkutan</w:t>
      </w:r>
      <w:r>
        <w:rPr>
          <w:rFonts w:ascii="Bookman Old Style" w:hAnsi="Bookman Old Style" w:cs="Arial"/>
          <w:b/>
          <w:color w:val="000000"/>
          <w:lang w:val="id-ID"/>
        </w:rPr>
        <w:t>.</w:t>
      </w:r>
    </w:p>
    <w:p>
      <w:pPr>
        <w:numPr>
          <w:ilvl w:val="0"/>
          <w:numId w:val="2"/>
        </w:numPr>
        <w:tabs>
          <w:tab w:val="right" w:pos="-1800"/>
          <w:tab w:val="left" w:pos="450"/>
          <w:tab w:val="left" w:pos="540"/>
        </w:tabs>
        <w:overflowPunct w:val="0"/>
        <w:autoSpaceDE w:val="0"/>
        <w:autoSpaceDN w:val="0"/>
        <w:adjustRightInd w:val="0"/>
        <w:spacing w:line="276" w:lineRule="auto"/>
        <w:ind w:left="450" w:right="-345" w:hanging="450"/>
        <w:textAlignment w:val="baseline"/>
      </w:pPr>
      <w:r>
        <w:rPr>
          <w:rFonts w:ascii="Bookman Old Style" w:hAnsi="Bookman Old Style" w:cs="Arial"/>
          <w:color w:val="000000"/>
        </w:rPr>
        <w:t>Ketua Pengadilan Negeri</w:t>
      </w:r>
      <w:r>
        <w:rPr>
          <w:rFonts w:ascii="Bookman Old Style" w:hAnsi="Bookman Old Style" w:cs="Arial"/>
          <w:b/>
          <w:bCs/>
          <w:color w:val="000000"/>
        </w:rPr>
        <w:t xml:space="preserve"> </w:t>
      </w:r>
      <w:r>
        <w:rPr>
          <w:rFonts w:hint="default" w:ascii="Bookman Old Style" w:hAnsi="Bookman Old Style" w:cs="Arial"/>
          <w:b/>
          <w:color w:val="000000"/>
          <w:lang w:val="en-US"/>
        </w:rPr>
        <w:t>yang bersangkutan.</w:t>
      </w:r>
    </w:p>
    <w:p>
      <w:pPr>
        <w:numPr>
          <w:ilvl w:val="0"/>
          <w:numId w:val="2"/>
        </w:numPr>
        <w:tabs>
          <w:tab w:val="right" w:pos="-1800"/>
          <w:tab w:val="left" w:pos="450"/>
          <w:tab w:val="left" w:pos="540"/>
        </w:tabs>
        <w:overflowPunct w:val="0"/>
        <w:autoSpaceDE w:val="0"/>
        <w:autoSpaceDN w:val="0"/>
        <w:adjustRightInd w:val="0"/>
        <w:spacing w:line="276" w:lineRule="auto"/>
        <w:ind w:left="450" w:right="-345" w:hanging="450"/>
        <w:textAlignment w:val="baseline"/>
        <w:rPr>
          <w:rFonts w:ascii="Bookman Old Style" w:hAnsi="Bookman Old Style" w:cs="Arial"/>
          <w:color w:val="000000"/>
        </w:rPr>
      </w:pPr>
      <w:r>
        <w:rPr>
          <w:rFonts w:hint="default"/>
          <w:lang w:val="en-US"/>
        </w:rPr>
        <w:t>K</w:t>
      </w:r>
      <w:r>
        <w:rPr>
          <w:rFonts w:hint="default" w:ascii="Bookman Old Style" w:hAnsi="Bookman Old Style" w:cs="Arial"/>
          <w:color w:val="000000"/>
          <w:lang w:val="en-US"/>
        </w:rPr>
        <w:t>epala Ka</w:t>
      </w:r>
      <w:r>
        <w:rPr>
          <w:rFonts w:hint="default"/>
          <w:lang w:val="en-US"/>
        </w:rPr>
        <w:t>n</w:t>
      </w:r>
      <w:r>
        <w:rPr>
          <w:rFonts w:hint="default" w:ascii="Bookman Old Style" w:hAnsi="Bookman Old Style" w:cs="Arial"/>
          <w:color w:val="000000"/>
          <w:lang w:val="en-US"/>
        </w:rPr>
        <w:t>tor Pelayanan Perbendaharaan Negara terkait.</w:t>
      </w:r>
      <w:bookmarkStart w:id="1" w:name="_GoBack"/>
      <w:bookmarkEnd w:id="1"/>
    </w:p>
    <w:sectPr>
      <w:footerReference r:id="rId3" w:type="default"/>
      <w:pgSz w:w="11906" w:h="18709"/>
      <w:pgMar w:top="788" w:right="1405" w:bottom="1134" w:left="96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924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151"/>
      <w:gridCol w:w="8931"/>
      <w:gridCol w:w="184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151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31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184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151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931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184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  <w:bookmarkEnd w:id="0"/>
  </w:tbl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B502589"/>
    <w:multiLevelType w:val="multilevel"/>
    <w:tmpl w:val="6B50258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E54CC2"/>
    <w:rsid w:val="039D3F93"/>
    <w:rsid w:val="039F238A"/>
    <w:rsid w:val="09DF1BDA"/>
    <w:rsid w:val="132F1A28"/>
    <w:rsid w:val="1D383DE0"/>
    <w:rsid w:val="205076CB"/>
    <w:rsid w:val="24865D68"/>
    <w:rsid w:val="2706664C"/>
    <w:rsid w:val="29B17F12"/>
    <w:rsid w:val="2A8C1FFA"/>
    <w:rsid w:val="2ADA1C54"/>
    <w:rsid w:val="319F381F"/>
    <w:rsid w:val="32E239E0"/>
    <w:rsid w:val="33A1463D"/>
    <w:rsid w:val="356E2493"/>
    <w:rsid w:val="36532495"/>
    <w:rsid w:val="384444EA"/>
    <w:rsid w:val="3B274149"/>
    <w:rsid w:val="3C567BDC"/>
    <w:rsid w:val="41A81871"/>
    <w:rsid w:val="43F83FD4"/>
    <w:rsid w:val="45367B38"/>
    <w:rsid w:val="46D74E04"/>
    <w:rsid w:val="4BB87443"/>
    <w:rsid w:val="4DE54CC2"/>
    <w:rsid w:val="51E63EBB"/>
    <w:rsid w:val="52EE499D"/>
    <w:rsid w:val="537D7810"/>
    <w:rsid w:val="56757ABD"/>
    <w:rsid w:val="5A303CB9"/>
    <w:rsid w:val="5A5B5FDC"/>
    <w:rsid w:val="61D72C24"/>
    <w:rsid w:val="66656417"/>
    <w:rsid w:val="689F4CE6"/>
    <w:rsid w:val="690158C3"/>
    <w:rsid w:val="6B0A0567"/>
    <w:rsid w:val="6E3A0F23"/>
    <w:rsid w:val="6EF00C08"/>
    <w:rsid w:val="6F3A3EA5"/>
    <w:rsid w:val="73932A0A"/>
    <w:rsid w:val="78BC1803"/>
    <w:rsid w:val="7D8B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2021-09-13T07:47:00Z</dcterms:created>
  <dc:creator>PerlengkapanBadilum2</dc:creator>
  <cp:lastModifiedBy>PerlengkapanBadilum2</cp:lastModifiedBy>
  <dcterms:modified xsi:type="dcterms:W3CDTF">2021-10-07T05:21:08Z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312EAE5E8390449BAD3BF13A7650064C</vt:lpwstr>
  </property>
</Properties>
</file>