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</w:rPr>
        <w:t>KEPUTUSAN KETUA MAHKAMAH AGUNG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color w:val="000000"/>
        </w:rPr>
        <w:t>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480" w:lineRule="auto"/>
        <w:ind w:right="270"/>
        <w:jc w:val="both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ab/>
      </w:r>
      <w:r>
        <w:rPr>
          <w:rFonts w:ascii="Bookman Old Style" w:hAnsi="Bookman Old Style" w:cs="Arial"/>
          <w:b/>
          <w:color w:val="000000"/>
        </w:rPr>
        <w:t>NOMOR</w:t>
      </w:r>
      <w:r>
        <w:rPr>
          <w:rFonts w:hint="default" w:ascii="Bookman Old Style" w:hAnsi="Bookman Old Style" w:cs="Arial"/>
          <w:b/>
          <w:color w:val="000000"/>
          <w:lang w:val="en-US"/>
        </w:rPr>
        <w:t xml:space="preserve"> ${NomorSK}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PROMOSI DAN MUTASI HAKIM PENGADILAN TINGGI</w:t>
      </w:r>
    </w:p>
    <w:p>
      <w:pPr>
        <w:tabs>
          <w:tab w:val="left" w:pos="2977"/>
        </w:tabs>
        <w:spacing w:line="60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KETUA MAHKAMAH AGUNG REPUBLIK INDONESIA,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568"/>
        <w:gridCol w:w="712"/>
        <w:gridCol w:w="6548"/>
      </w:tblGrid>
      <w:t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bahwa untuk kepentingan dinas dipandang perlu dilakukan pemindahan/pengangkatan Ketua, Wakil Ketua dan Hakim Pengadilan Tinggi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bahwa nama-nama yang tersebut pada lajur 2 sudah mendapatkan pertimbangan dan persetujuan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berdasarkan </w:t>
            </w:r>
            <w:r>
              <w:rPr>
                <w:rFonts w:ascii="Bookman Old Style" w:hAnsi="Bookman Old Style" w:cs="Arial"/>
                <w:color w:val="000000"/>
              </w:rPr>
              <w:t xml:space="preserve">Hasil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Keputusan </w:t>
            </w:r>
            <w:r>
              <w:rPr>
                <w:rFonts w:ascii="Bookman Old Style" w:hAnsi="Bookman Old Style" w:cs="Arial"/>
                <w:color w:val="000000"/>
              </w:rPr>
              <w:t xml:space="preserve"> Rapat Tim Promosi dan Mutasi Hakim Mahkamah Agung RI tanggal </w:t>
            </w:r>
            <w:bookmarkStart w:id="0" w:name="_GoBack"/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</w:rPr>
              <w:t>TglKeputusan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}</w:t>
            </w:r>
            <w:r>
              <w:rPr>
                <w:rFonts w:ascii="Bookman Old Style" w:hAnsi="Bookman Old Style" w:cs="Arial"/>
                <w:b/>
                <w:bCs/>
                <w:color w:val="000000"/>
              </w:rPr>
              <w:t>;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c.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bahwa formasi serta anggaran belanja Pegawai             yang bersangkutan mengizinkan akan pemindahan/pengangkatan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30 Tahun 2002 tentang Perubahan Atas Undang-Undang Nomor 20 Tahun 2001  tentang Komisi Pemberantasan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2.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2 Tahun 2004 tentang Penyelesaian Perselisihan Hubungan Industrial;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3.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31 Tahun 2004 tentang Pengadilan Perikanan;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4.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37 Tahun 2004 tentang Kepailitan dan Penundaan Kewajiban Pembayaran Utang;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5.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 Tahun 2009 tentang Perubahan Kedua Atas Undang-Undang Nomor 14 Tahun 1985 tentang Mahkamah Agung;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6.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46 Tahun 2009 tentang Pengadilan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7.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8.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49 Tahun 2009 tentang Perubahan Kedua Atas Undang-Undang Nomor 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9.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5 Tahun 2014 tentang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10. Peraturan ……………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</w:p>
        </w:tc>
      </w:tr>
    </w:tbl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spacing w:line="276" w:lineRule="auto"/>
        <w:ind w:right="270"/>
        <w:jc w:val="center"/>
        <w:rPr>
          <w:b/>
        </w:rPr>
      </w:pPr>
      <w:r>
        <w:rPr>
          <w:b/>
        </w:rPr>
        <w:t>– 2 –</w:t>
      </w:r>
    </w:p>
    <w:p>
      <w:pPr>
        <w:ind w:right="270"/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330"/>
        <w:gridCol w:w="861"/>
        <w:gridCol w:w="6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10.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 41 Tahun 2002 tentang Kenaikan Jabatan dan Pangkat Hakim;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11.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12.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Peraturan  Pemerintah  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tentang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Hak Keuangan dan Fasilitas Hakim yang Berada di Bawah Mahkamah Agung RI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13.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Ketua Mahkamah Agung RI Nomor 125/KMA/SK/IX/2009 tanggal 2 September 2009 tentang Pendelegasian Sebagian Wewenang Kepada Para Pejabat Eselon I dan Ketua Pengadilan Tingkat Banding di Lingkungan Mahkamah Agung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 untuk Penandatanganan</w:t>
            </w:r>
            <w:r>
              <w:rPr>
                <w:rFonts w:ascii="Bookman Old Style" w:hAnsi="Bookman Old Style" w:cs="Arial"/>
                <w:color w:val="000000"/>
              </w:rPr>
              <w:t xml:space="preserve"> di Bidang Kepegawaian;</w:t>
            </w:r>
          </w:p>
        </w:tc>
      </w:tr>
    </w:tbl>
    <w:p>
      <w:pPr>
        <w:spacing w:line="276" w:lineRule="auto"/>
        <w:ind w:right="270"/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568"/>
        <w:gridCol w:w="7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8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Menetapkan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KEPUTUSAN KETUA MAHKAMAH AGUNG TENTANG PROMOSI DAN MUTASI HAKIM PENGADILAN TINGGI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KESATU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KEDUA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KETIGA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Kepadanya diberikan tunjangan Hakim berdasarkan Peraturan  Pemerintah  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Segala biaya yang bertalian dengan pemindahan ini ditanggung oleh Negara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 ${biaya}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KELIMA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 ……………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</w:tbl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spacing w:line="276" w:lineRule="auto"/>
        <w:ind w:right="270"/>
      </w:pPr>
    </w:p>
    <w:p>
      <w:pPr>
        <w:spacing w:line="276" w:lineRule="auto"/>
        <w:ind w:right="270"/>
      </w:pPr>
    </w:p>
    <w:p>
      <w:pPr>
        <w:spacing w:line="276" w:lineRule="auto"/>
        <w:ind w:right="270"/>
        <w:rPr>
          <w:b/>
        </w:rPr>
      </w:pPr>
    </w:p>
    <w:p>
      <w:pPr>
        <w:spacing w:line="276" w:lineRule="auto"/>
        <w:ind w:right="270"/>
        <w:jc w:val="center"/>
        <w:rPr>
          <w:b/>
        </w:rPr>
      </w:pPr>
      <w:r>
        <w:rPr>
          <w:b/>
        </w:rPr>
        <w:t>– 3 –</w:t>
      </w:r>
    </w:p>
    <w:p>
      <w:pPr>
        <w:spacing w:line="276" w:lineRule="auto"/>
        <w:ind w:right="270"/>
        <w:jc w:val="center"/>
        <w:rPr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33"/>
        <w:gridCol w:w="1625"/>
        <w:gridCol w:w="1288"/>
        <w:gridCol w:w="4831"/>
      </w:tblGrid>
      <w:t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4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</w:t>
            </w: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4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4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both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pada tanggal  </w:t>
            </w:r>
            <w:r>
              <w:rPr>
                <w:rFonts w:hint="default" w:ascii="Bookman Old Style" w:hAnsi="Bookman Old Style"/>
                <w:color w:val="000000"/>
              </w:rPr>
              <w:t>${</w:t>
            </w:r>
            <w:r>
              <w:rPr>
                <w:rFonts w:hint="default" w:ascii="Bookman Old Style" w:hAnsi="Bookman Old Style"/>
                <w:b/>
                <w:bCs/>
                <w:color w:val="000000"/>
              </w:rPr>
              <w:t>TglTTD</w:t>
            </w:r>
            <w:r>
              <w:rPr>
                <w:rFonts w:hint="default" w:ascii="Bookman Old Style" w:hAnsi="Bookman Old Style"/>
                <w:color w:val="000000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18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b/>
                <w:lang w:val="de-DE"/>
              </w:rPr>
              <w:t>a.n. KETUA MAHKAMAH AGUNG 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</w:rPr>
              <w:t>NamaDirjen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}</w:t>
            </w:r>
          </w:p>
        </w:tc>
      </w:tr>
    </w:tbl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270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270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27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420" w:right="27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right" w:pos="-1800"/>
          <w:tab w:val="left" w:pos="8820"/>
        </w:tabs>
        <w:spacing w:line="360" w:lineRule="auto"/>
        <w:ind w:left="1620" w:right="270" w:hanging="1620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SALINAN </w:t>
      </w:r>
      <w:r>
        <w:rPr>
          <w:rFonts w:ascii="Bookman Old Style" w:hAnsi="Bookman Old Style" w:cs="Arial"/>
          <w:color w:val="000000"/>
        </w:rPr>
        <w:t>Keputusan ini disampaikan kepada :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Ketua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Ketua Badan Pemeriksa Keuangan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Wakil Ketua Mahkamah Agung RI Bidang Non Yudisial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Sekretaris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Badan Pengawasan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Badan Kepegawaian Negara di Jakarta.</w:t>
      </w:r>
    </w:p>
    <w:p>
      <w:pPr>
        <w:numPr>
          <w:ilvl w:val="0"/>
          <w:numId w:val="1"/>
        </w:numPr>
        <w:tabs>
          <w:tab w:val="left" w:pos="450"/>
          <w:tab w:val="left" w:pos="5400"/>
          <w:tab w:val="clear" w:pos="3240"/>
        </w:tabs>
        <w:spacing w:line="276" w:lineRule="auto"/>
        <w:ind w:left="450" w:right="270" w:hanging="450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Direktur Jenderal Anggaran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Direktur Jenderal Perbendaharaan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Biro Kepegawaian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right="270" w:hanging="72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Tinggi</w:t>
      </w:r>
      <w:r>
        <w:rPr>
          <w:rFonts w:ascii="Bookman Old Style" w:hAnsi="Bookman Old Style" w:cs="Arial"/>
          <w:b/>
          <w:color w:val="000000"/>
        </w:rPr>
        <w:t xml:space="preserve"> 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 xml:space="preserve">Ketua Pengadilan Negeri </w:t>
      </w:r>
      <w:r>
        <w:rPr>
          <w:rFonts w:ascii="Bookman Old Style" w:hAnsi="Bookman Old Style" w:cs="Arial"/>
          <w:b/>
          <w:color w:val="000000"/>
          <w:lang w:val="de-DE"/>
        </w:rPr>
        <w:t>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Kantor Pelayanan Perbendaharaan Negara</w:t>
      </w:r>
      <w:r>
        <w:rPr>
          <w:rFonts w:ascii="Bookman Old Style" w:hAnsi="Bookman Old Style" w:cs="Arial"/>
          <w:b/>
          <w:color w:val="000000"/>
          <w:lang w:val="de-DE"/>
        </w:rPr>
        <w:t xml:space="preserve"> 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PT. TASPEN JL. Let. Jen Soeprapto di Jakarta Pusat.</w:t>
      </w:r>
    </w:p>
    <w:p/>
    <w:sectPr>
      <w:pgSz w:w="12240" w:h="20160"/>
      <w:pgMar w:top="1267" w:right="126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0452D"/>
    <w:rsid w:val="159C051B"/>
    <w:rsid w:val="7F20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2021-09-10T17:46:00Z</dcterms:created>
  <dc:creator>PerlengkapanBadilum2</dc:creator>
  <cp:lastModifiedBy>PerlengkapanBadilum2</cp:lastModifiedBy>
  <dcterms:modified xsi:type="dcterms:W3CDTF">2021-09-10T17:47:59Z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