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677" w:rsidRDefault="006F5677" w:rsidP="006F5677">
      <w:pPr>
        <w:pStyle w:val="ListParagraph"/>
        <w:numPr>
          <w:ilvl w:val="0"/>
          <w:numId w:val="1"/>
        </w:numPr>
        <w:rPr>
          <w:rFonts w:ascii="Times New Roman" w:hAnsi="Times New Roman"/>
          <w:b/>
          <w:sz w:val="24"/>
          <w:szCs w:val="24"/>
        </w:rPr>
      </w:pPr>
      <w:r>
        <w:rPr>
          <w:rFonts w:ascii="Times New Roman" w:hAnsi="Times New Roman"/>
          <w:b/>
          <w:sz w:val="24"/>
          <w:szCs w:val="24"/>
        </w:rPr>
        <w:t>OBJETIVOS</w:t>
      </w:r>
    </w:p>
    <w:p w:rsidR="006F5677" w:rsidRDefault="006F5677" w:rsidP="006F5677">
      <w:pPr>
        <w:pStyle w:val="ListParagraph"/>
        <w:rPr>
          <w:rFonts w:ascii="Times New Roman" w:hAnsi="Times New Roman"/>
          <w:b/>
          <w:sz w:val="24"/>
          <w:szCs w:val="24"/>
        </w:rPr>
      </w:pPr>
    </w:p>
    <w:p w:rsidR="006F5677" w:rsidRDefault="006F5677" w:rsidP="006F5677">
      <w:pPr>
        <w:rPr>
          <w:rFonts w:ascii="Times New Roman" w:hAnsi="Times New Roman"/>
          <w:b/>
          <w:sz w:val="24"/>
          <w:szCs w:val="24"/>
        </w:rPr>
      </w:pPr>
      <w:r>
        <w:rPr>
          <w:rFonts w:ascii="Times New Roman" w:hAnsi="Times New Roman"/>
          <w:b/>
          <w:sz w:val="24"/>
          <w:szCs w:val="24"/>
        </w:rPr>
        <w:t>2.1 Objetivo Geral</w:t>
      </w:r>
    </w:p>
    <w:p w:rsidR="006F5677" w:rsidRDefault="006F5677" w:rsidP="006F5677">
      <w:pPr>
        <w:jc w:val="both"/>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Estudar os efeitos do ácido valproico e da vitamina E na toxicidade induzida por cisplatina no sist</w:t>
      </w:r>
      <w:bookmarkStart w:id="0" w:name="_GoBack"/>
      <w:bookmarkEnd w:id="0"/>
      <w:r>
        <w:rPr>
          <w:rFonts w:ascii="Times New Roman" w:hAnsi="Times New Roman"/>
          <w:sz w:val="24"/>
          <w:szCs w:val="24"/>
        </w:rPr>
        <w:t>ema nervoso central.</w:t>
      </w:r>
    </w:p>
    <w:p w:rsidR="006F5677" w:rsidRPr="00D20887" w:rsidRDefault="006F5677" w:rsidP="006F5677">
      <w:pPr>
        <w:jc w:val="both"/>
        <w:rPr>
          <w:rFonts w:ascii="Times New Roman" w:hAnsi="Times New Roman"/>
          <w:sz w:val="24"/>
          <w:szCs w:val="24"/>
        </w:rPr>
      </w:pPr>
    </w:p>
    <w:p w:rsidR="006F5677" w:rsidRDefault="006F5677" w:rsidP="006F5677">
      <w:pPr>
        <w:rPr>
          <w:rFonts w:ascii="Times New Roman" w:hAnsi="Times New Roman"/>
          <w:b/>
          <w:sz w:val="24"/>
          <w:szCs w:val="24"/>
        </w:rPr>
      </w:pPr>
      <w:r>
        <w:rPr>
          <w:rFonts w:ascii="Times New Roman" w:hAnsi="Times New Roman"/>
          <w:b/>
          <w:sz w:val="24"/>
          <w:szCs w:val="24"/>
        </w:rPr>
        <w:t>2.2 Objetivos Específicos</w:t>
      </w:r>
    </w:p>
    <w:p w:rsidR="006F5677" w:rsidRDefault="006F5677" w:rsidP="006F5677">
      <w:pPr>
        <w:rPr>
          <w:rFonts w:ascii="Times New Roman" w:hAnsi="Times New Roman"/>
          <w:b/>
          <w:sz w:val="24"/>
          <w:szCs w:val="24"/>
        </w:rPr>
      </w:pPr>
    </w:p>
    <w:p w:rsidR="006F5677" w:rsidRDefault="006F5677" w:rsidP="006F5677">
      <w:pPr>
        <w:spacing w:line="360" w:lineRule="auto"/>
        <w:jc w:val="both"/>
        <w:rPr>
          <w:rFonts w:ascii="Times New Roman" w:hAnsi="Times New Roman"/>
          <w:sz w:val="24"/>
          <w:szCs w:val="24"/>
        </w:rPr>
      </w:pPr>
      <w:r>
        <w:rPr>
          <w:rFonts w:ascii="Times New Roman" w:hAnsi="Times New Roman"/>
          <w:sz w:val="24"/>
          <w:szCs w:val="24"/>
        </w:rPr>
        <w:t>-Verificar as alterações comportamentais causadas aos animais pela administração de cisplatina e a prevenção e/ou reversão destas pelo uso do ácido valproico e da vitamina E;</w:t>
      </w:r>
    </w:p>
    <w:p w:rsidR="006F5677" w:rsidRDefault="006F5677" w:rsidP="006F5677">
      <w:pPr>
        <w:spacing w:line="360" w:lineRule="auto"/>
        <w:jc w:val="both"/>
        <w:rPr>
          <w:rFonts w:ascii="Times New Roman" w:hAnsi="Times New Roman"/>
          <w:sz w:val="24"/>
          <w:szCs w:val="24"/>
        </w:rPr>
      </w:pPr>
      <w:r>
        <w:rPr>
          <w:rFonts w:ascii="Times New Roman" w:hAnsi="Times New Roman"/>
          <w:sz w:val="24"/>
          <w:szCs w:val="24"/>
        </w:rPr>
        <w:t>-Determinar as alterações em parâmetros de estresse oxidativo como: atividade de SOD, glutationa reduzida, peroxidação lipídica e peroxinitrito no hipocampo, córtex pré-frontal e córtex temporal;</w:t>
      </w:r>
    </w:p>
    <w:p w:rsidR="006F5677" w:rsidRDefault="006F5677" w:rsidP="006F5677">
      <w:pPr>
        <w:spacing w:line="360" w:lineRule="auto"/>
        <w:jc w:val="both"/>
        <w:rPr>
          <w:rFonts w:ascii="Times New Roman" w:hAnsi="Times New Roman"/>
          <w:sz w:val="24"/>
          <w:szCs w:val="24"/>
        </w:rPr>
      </w:pPr>
      <w:r>
        <w:rPr>
          <w:rFonts w:ascii="Times New Roman" w:hAnsi="Times New Roman"/>
          <w:sz w:val="24"/>
          <w:szCs w:val="24"/>
        </w:rPr>
        <w:t>-Determinar os níveis de acetilcolinesterase no hipocampo, córtex pré-frontal e córtex temporal;</w:t>
      </w:r>
    </w:p>
    <w:p w:rsidR="006F5677" w:rsidRDefault="006F5677" w:rsidP="006F5677">
      <w:pPr>
        <w:spacing w:line="360" w:lineRule="auto"/>
        <w:jc w:val="both"/>
        <w:rPr>
          <w:rFonts w:ascii="Times New Roman" w:hAnsi="Times New Roman"/>
          <w:sz w:val="24"/>
          <w:szCs w:val="24"/>
        </w:rPr>
      </w:pPr>
      <w:r>
        <w:rPr>
          <w:rFonts w:ascii="Times New Roman" w:hAnsi="Times New Roman"/>
          <w:sz w:val="24"/>
          <w:szCs w:val="24"/>
        </w:rPr>
        <w:t xml:space="preserve">-Avaliar as alterações em mecanismos de neuroplasticidade como: níveis de BDNF, </w:t>
      </w:r>
      <w:r>
        <w:rPr>
          <w:rFonts w:ascii="Times New Roman" w:hAnsi="Times New Roman"/>
          <w:color w:val="000000"/>
          <w:sz w:val="24"/>
          <w:szCs w:val="24"/>
        </w:rPr>
        <w:t>fosfo-Ser9-GSK3</w:t>
      </w:r>
      <w:r>
        <w:rPr>
          <w:rFonts w:ascii="Times New Roman" w:hAnsi="Times New Roman"/>
          <w:sz w:val="24"/>
          <w:szCs w:val="24"/>
        </w:rPr>
        <w:t xml:space="preserve"> em animais tratados com ácido valproico na  toxicidade induzida por cisplatina;</w:t>
      </w:r>
    </w:p>
    <w:p w:rsidR="006F5677" w:rsidRDefault="006F5677" w:rsidP="006F5677">
      <w:pPr>
        <w:spacing w:line="360" w:lineRule="auto"/>
        <w:jc w:val="both"/>
        <w:rPr>
          <w:rFonts w:ascii="Times New Roman" w:hAnsi="Times New Roman"/>
          <w:color w:val="000000"/>
          <w:sz w:val="24"/>
          <w:szCs w:val="24"/>
        </w:rPr>
      </w:pPr>
      <w:r>
        <w:rPr>
          <w:rFonts w:ascii="Times New Roman" w:hAnsi="Times New Roman"/>
          <w:sz w:val="24"/>
          <w:szCs w:val="24"/>
        </w:rPr>
        <w:t xml:space="preserve">-Avaliar as alterações inflamatórias e anti-inflamatórias como: IL-1β, TNFα, e IL10  </w:t>
      </w:r>
      <w:r>
        <w:rPr>
          <w:rFonts w:ascii="Times New Roman" w:hAnsi="Times New Roman"/>
          <w:color w:val="000000"/>
          <w:sz w:val="24"/>
          <w:szCs w:val="24"/>
        </w:rPr>
        <w:t>em animais tratados com ácido valproico ou vitamina E na toxicidade induzida por cisplatina.</w:t>
      </w:r>
    </w:p>
    <w:p w:rsidR="006F5677" w:rsidRDefault="006F5677" w:rsidP="006F5677">
      <w:pPr>
        <w:spacing w:line="360" w:lineRule="auto"/>
        <w:jc w:val="both"/>
        <w:rPr>
          <w:rFonts w:ascii="Times New Roman" w:hAnsi="Times New Roman" w:cs="Times New Roman"/>
          <w:bCs/>
          <w:color w:val="000000"/>
          <w:sz w:val="24"/>
          <w:szCs w:val="24"/>
        </w:rPr>
      </w:pPr>
      <w:r>
        <w:rPr>
          <w:rFonts w:ascii="Times New Roman" w:hAnsi="Times New Roman" w:cs="Times New Roman"/>
          <w:sz w:val="24"/>
          <w:szCs w:val="24"/>
        </w:rPr>
        <w:t>-</w:t>
      </w:r>
      <w:r w:rsidRPr="00B45A37">
        <w:rPr>
          <w:rFonts w:ascii="Times New Roman" w:hAnsi="Times New Roman" w:cs="Times New Roman"/>
          <w:sz w:val="24"/>
          <w:szCs w:val="24"/>
        </w:rPr>
        <w:t xml:space="preserve">Marcar por imunofluorescência os marcadores </w:t>
      </w:r>
      <w:r w:rsidRPr="00B45A37">
        <w:rPr>
          <w:rFonts w:ascii="Times New Roman" w:hAnsi="Times New Roman" w:cs="Times New Roman"/>
          <w:bCs/>
          <w:color w:val="000000"/>
          <w:sz w:val="24"/>
          <w:szCs w:val="24"/>
        </w:rPr>
        <w:t>GFAP e Fosfocreb, NFκB e NeuN no hipocampo, Iba-1e iNOS</w:t>
      </w:r>
      <w:r>
        <w:rPr>
          <w:rFonts w:ascii="Times New Roman" w:hAnsi="Times New Roman" w:cs="Times New Roman"/>
          <w:bCs/>
          <w:color w:val="000000"/>
          <w:sz w:val="24"/>
          <w:szCs w:val="24"/>
        </w:rPr>
        <w:t xml:space="preserve"> </w:t>
      </w:r>
      <w:r>
        <w:rPr>
          <w:rFonts w:ascii="Times New Roman" w:hAnsi="Times New Roman"/>
          <w:color w:val="000000"/>
          <w:sz w:val="24"/>
          <w:szCs w:val="24"/>
        </w:rPr>
        <w:t>em animais tratados com ácido valproico ou vitamina E na toxicidade induzida por cisplatina</w:t>
      </w:r>
      <w:r>
        <w:rPr>
          <w:rFonts w:ascii="Times New Roman" w:hAnsi="Times New Roman" w:cs="Times New Roman"/>
          <w:bCs/>
          <w:color w:val="000000"/>
          <w:sz w:val="24"/>
          <w:szCs w:val="24"/>
        </w:rPr>
        <w:t>.</w:t>
      </w:r>
    </w:p>
    <w:p w:rsidR="006F5677" w:rsidRDefault="006F5677" w:rsidP="006F5677">
      <w:pPr>
        <w:spacing w:line="360" w:lineRule="auto"/>
        <w:jc w:val="both"/>
        <w:rPr>
          <w:rFonts w:ascii="Times New Roman" w:hAnsi="Times New Roman"/>
          <w:color w:val="000000"/>
          <w:sz w:val="24"/>
          <w:szCs w:val="24"/>
        </w:rPr>
      </w:pPr>
      <w:r>
        <w:rPr>
          <w:rFonts w:ascii="Times New Roman" w:hAnsi="Times New Roman" w:cs="Times New Roman"/>
          <w:sz w:val="24"/>
          <w:szCs w:val="24"/>
        </w:rPr>
        <w:t>-</w:t>
      </w:r>
      <w:r w:rsidRPr="00667DAA">
        <w:rPr>
          <w:rFonts w:ascii="Times New Roman" w:hAnsi="Times New Roman" w:cs="Times New Roman"/>
          <w:sz w:val="24"/>
          <w:szCs w:val="24"/>
        </w:rPr>
        <w:t>Quantificar</w:t>
      </w:r>
      <w:r>
        <w:rPr>
          <w:rFonts w:ascii="Times New Roman" w:hAnsi="Times New Roman" w:cs="Times New Roman"/>
          <w:sz w:val="24"/>
          <w:szCs w:val="24"/>
        </w:rPr>
        <w:t xml:space="preserve"> por PCR a expressão gênica das enzimas iNOS e AChE </w:t>
      </w:r>
      <w:r>
        <w:rPr>
          <w:rFonts w:ascii="Times New Roman" w:hAnsi="Times New Roman"/>
          <w:color w:val="000000"/>
          <w:sz w:val="24"/>
          <w:szCs w:val="24"/>
        </w:rPr>
        <w:t>em animais tratados com ácido valproico ou vitamina E na toxicidade induzida por cisplatina.</w:t>
      </w:r>
    </w:p>
    <w:p w:rsidR="006F5677" w:rsidRDefault="006F5677" w:rsidP="006F5677">
      <w:pPr>
        <w:spacing w:line="360" w:lineRule="auto"/>
        <w:jc w:val="both"/>
        <w:rPr>
          <w:rFonts w:ascii="Times New Roman" w:hAnsi="Times New Roman"/>
          <w:color w:val="000000"/>
          <w:sz w:val="24"/>
          <w:szCs w:val="24"/>
        </w:rPr>
      </w:pPr>
    </w:p>
    <w:p w:rsidR="006F5677" w:rsidRPr="00B45A37" w:rsidRDefault="006F5677" w:rsidP="006F5677">
      <w:pPr>
        <w:spacing w:line="360" w:lineRule="auto"/>
        <w:jc w:val="both"/>
        <w:rPr>
          <w:rFonts w:ascii="Times New Roman" w:hAnsi="Times New Roman" w:cs="Times New Roman"/>
          <w:b/>
          <w:sz w:val="24"/>
          <w:szCs w:val="24"/>
        </w:rPr>
      </w:pPr>
    </w:p>
    <w:p w:rsidR="006F5677" w:rsidRPr="002F61D6" w:rsidRDefault="006F5677" w:rsidP="006F5677">
      <w:pPr>
        <w:pStyle w:val="ListParagraph"/>
        <w:numPr>
          <w:ilvl w:val="0"/>
          <w:numId w:val="1"/>
        </w:numPr>
        <w:rPr>
          <w:rFonts w:ascii="Times New Roman" w:hAnsi="Times New Roman"/>
          <w:b/>
          <w:sz w:val="24"/>
          <w:szCs w:val="24"/>
        </w:rPr>
      </w:pPr>
      <w:r w:rsidRPr="002F61D6">
        <w:rPr>
          <w:rFonts w:ascii="Times New Roman" w:hAnsi="Times New Roman"/>
          <w:b/>
          <w:sz w:val="24"/>
          <w:szCs w:val="24"/>
        </w:rPr>
        <w:lastRenderedPageBreak/>
        <w:t>MATERIAIS E MÉTODOS</w:t>
      </w:r>
    </w:p>
    <w:p w:rsidR="006F5677" w:rsidRDefault="006F5677" w:rsidP="006F5677">
      <w:pPr>
        <w:rPr>
          <w:rFonts w:ascii="Times New Roman" w:hAnsi="Times New Roman"/>
          <w:b/>
          <w:sz w:val="24"/>
          <w:szCs w:val="24"/>
        </w:rPr>
      </w:pPr>
      <w:r w:rsidRPr="0024219A">
        <w:rPr>
          <w:rFonts w:ascii="Times New Roman" w:hAnsi="Times New Roman"/>
          <w:b/>
          <w:sz w:val="24"/>
          <w:szCs w:val="24"/>
        </w:rPr>
        <w:t>3.1 Animais</w:t>
      </w:r>
    </w:p>
    <w:p w:rsidR="006F5677" w:rsidRPr="005A34E2" w:rsidRDefault="006F5677" w:rsidP="006F5677">
      <w:pPr>
        <w:pStyle w:val="BodyTextIndent"/>
        <w:spacing w:line="360" w:lineRule="auto"/>
        <w:ind w:left="0" w:right="-136" w:firstLine="708"/>
        <w:jc w:val="both"/>
        <w:rPr>
          <w:rFonts w:ascii="Times New Roman" w:hAnsi="Times New Roman" w:cs="Times New Roman"/>
          <w:b/>
          <w:sz w:val="24"/>
          <w:szCs w:val="24"/>
        </w:rPr>
      </w:pPr>
      <w:r w:rsidRPr="005A34E2">
        <w:rPr>
          <w:rFonts w:ascii="Times New Roman" w:eastAsia="Times New Roman" w:hAnsi="Times New Roman" w:cs="Times New Roman"/>
          <w:sz w:val="24"/>
          <w:szCs w:val="24"/>
          <w:lang w:eastAsia="pt-BR"/>
        </w:rPr>
        <w:t>Os experimentos serão realizados em ratos Wistar machos adultos (peso: 250-300 g), obtidos no biotério central da Universidade Federal do Ceará (UFC</w:t>
      </w:r>
      <w:r w:rsidRPr="005A34E2">
        <w:rPr>
          <w:rFonts w:ascii="Times New Roman" w:eastAsia="Times New Roman" w:hAnsi="Times New Roman" w:cs="Times New Roman"/>
          <w:color w:val="000000"/>
          <w:sz w:val="24"/>
          <w:szCs w:val="24"/>
          <w:lang w:eastAsia="pt-BR"/>
        </w:rPr>
        <w:t xml:space="preserve">) sempre no mesmo horário, no caso dos experimentos comportamentais entre 10:00 e 16:00. </w:t>
      </w:r>
      <w:r>
        <w:rPr>
          <w:rFonts w:ascii="Times New Roman" w:eastAsia="Times New Roman" w:hAnsi="Times New Roman" w:cs="Times New Roman"/>
          <w:color w:val="000000"/>
          <w:sz w:val="24"/>
          <w:szCs w:val="24"/>
          <w:lang w:eastAsia="pt-BR"/>
        </w:rPr>
        <w:t xml:space="preserve">Serão utilizados </w:t>
      </w:r>
      <w:r w:rsidRPr="005A34E2">
        <w:rPr>
          <w:rFonts w:ascii="Times New Roman" w:eastAsia="Times New Roman" w:hAnsi="Times New Roman" w:cs="Times New Roman"/>
          <w:color w:val="000000"/>
          <w:sz w:val="24"/>
          <w:szCs w:val="24"/>
          <w:lang w:eastAsia="pt-BR"/>
        </w:rPr>
        <w:t xml:space="preserve">8 animais por grupo, sendo os mesmos divididos e mantidos em caixas de acordo com seus respectivos tratamentos, com um ciclo claro/escuro de 12 h, água e ração animal </w:t>
      </w:r>
      <w:r w:rsidRPr="005A34E2">
        <w:rPr>
          <w:rFonts w:ascii="Times New Roman" w:eastAsia="Times New Roman" w:hAnsi="Times New Roman" w:cs="Times New Roman"/>
          <w:i/>
          <w:color w:val="000000"/>
          <w:sz w:val="24"/>
          <w:szCs w:val="24"/>
          <w:lang w:eastAsia="pt-BR"/>
        </w:rPr>
        <w:t>ad libitum</w:t>
      </w:r>
      <w:r w:rsidRPr="005A34E2">
        <w:rPr>
          <w:rFonts w:ascii="Times New Roman" w:eastAsia="Times New Roman" w:hAnsi="Times New Roman" w:cs="Times New Roman"/>
          <w:sz w:val="24"/>
          <w:szCs w:val="24"/>
          <w:lang w:eastAsia="pt-BR"/>
        </w:rPr>
        <w:t>. Todos os procedimentos experimentais serão realizados de acordo com diretrizes do Colégio Brasileiro de Experimentação Animal (COBEA) já tendo sido aprovado pelo comitê de ética em pesquisa animal (CEPA-UFC).</w:t>
      </w:r>
    </w:p>
    <w:p w:rsidR="006F5677" w:rsidRPr="00E72C00" w:rsidRDefault="006F5677" w:rsidP="006F5677">
      <w:pPr>
        <w:rPr>
          <w:rFonts w:ascii="Times New Roman" w:hAnsi="Times New Roman"/>
          <w:sz w:val="24"/>
          <w:szCs w:val="24"/>
        </w:rPr>
      </w:pPr>
    </w:p>
    <w:p w:rsidR="006F5677" w:rsidRDefault="006F5677" w:rsidP="006F5677">
      <w:pPr>
        <w:rPr>
          <w:rFonts w:ascii="Times New Roman" w:hAnsi="Times New Roman"/>
          <w:b/>
          <w:sz w:val="24"/>
          <w:szCs w:val="24"/>
        </w:rPr>
      </w:pPr>
      <w:r w:rsidRPr="0024219A">
        <w:rPr>
          <w:rFonts w:ascii="Times New Roman" w:hAnsi="Times New Roman"/>
          <w:b/>
          <w:sz w:val="24"/>
          <w:szCs w:val="24"/>
        </w:rPr>
        <w:t>3.2. Drogas</w:t>
      </w:r>
    </w:p>
    <w:p w:rsidR="006F5677" w:rsidRDefault="006F5677" w:rsidP="006F5677">
      <w:pPr>
        <w:rPr>
          <w:rFonts w:ascii="Times New Roman" w:hAnsi="Times New Roman"/>
          <w:b/>
          <w:sz w:val="24"/>
          <w:szCs w:val="24"/>
        </w:rPr>
      </w:pPr>
    </w:p>
    <w:tbl>
      <w:tblPr>
        <w:tblW w:w="0" w:type="auto"/>
        <w:tblInd w:w="194" w:type="dxa"/>
        <w:tblBorders>
          <w:insideH w:val="single" w:sz="4" w:space="0" w:color="auto"/>
        </w:tblBorders>
        <w:tblCellMar>
          <w:left w:w="70" w:type="dxa"/>
          <w:right w:w="70" w:type="dxa"/>
        </w:tblCellMar>
        <w:tblLook w:val="0000" w:firstRow="0" w:lastRow="0" w:firstColumn="0" w:lastColumn="0" w:noHBand="0" w:noVBand="0"/>
      </w:tblPr>
      <w:tblGrid>
        <w:gridCol w:w="1861"/>
        <w:gridCol w:w="3129"/>
        <w:gridCol w:w="3215"/>
      </w:tblGrid>
      <w:tr w:rsidR="006F5677" w:rsidTr="00AB002B">
        <w:trPr>
          <w:trHeight w:val="251"/>
        </w:trPr>
        <w:tc>
          <w:tcPr>
            <w:tcW w:w="1861" w:type="dxa"/>
          </w:tcPr>
          <w:p w:rsidR="006F5677" w:rsidRDefault="006F5677" w:rsidP="00AB002B">
            <w:pPr>
              <w:jc w:val="center"/>
              <w:rPr>
                <w:rFonts w:ascii="Times New Roman" w:hAnsi="Times New Roman"/>
                <w:b/>
                <w:sz w:val="24"/>
                <w:szCs w:val="24"/>
              </w:rPr>
            </w:pPr>
            <w:r>
              <w:rPr>
                <w:rFonts w:ascii="Times New Roman" w:hAnsi="Times New Roman"/>
                <w:b/>
                <w:sz w:val="24"/>
                <w:szCs w:val="24"/>
              </w:rPr>
              <w:t>Droga</w:t>
            </w:r>
          </w:p>
        </w:tc>
        <w:tc>
          <w:tcPr>
            <w:tcW w:w="3129" w:type="dxa"/>
          </w:tcPr>
          <w:p w:rsidR="006F5677" w:rsidRDefault="006F5677" w:rsidP="00AB002B">
            <w:pPr>
              <w:jc w:val="center"/>
              <w:rPr>
                <w:rFonts w:ascii="Times New Roman" w:hAnsi="Times New Roman"/>
                <w:b/>
                <w:sz w:val="24"/>
                <w:szCs w:val="24"/>
              </w:rPr>
            </w:pPr>
            <w:r>
              <w:rPr>
                <w:rFonts w:ascii="Times New Roman" w:hAnsi="Times New Roman"/>
                <w:b/>
                <w:sz w:val="24"/>
                <w:szCs w:val="24"/>
              </w:rPr>
              <w:t>Preparo</w:t>
            </w:r>
          </w:p>
        </w:tc>
        <w:tc>
          <w:tcPr>
            <w:tcW w:w="3215" w:type="dxa"/>
          </w:tcPr>
          <w:p w:rsidR="006F5677" w:rsidRDefault="006F5677" w:rsidP="00AB002B">
            <w:pPr>
              <w:jc w:val="center"/>
              <w:rPr>
                <w:rFonts w:ascii="Times New Roman" w:hAnsi="Times New Roman"/>
                <w:b/>
                <w:sz w:val="24"/>
                <w:szCs w:val="24"/>
              </w:rPr>
            </w:pPr>
            <w:r>
              <w:rPr>
                <w:rFonts w:ascii="Times New Roman" w:hAnsi="Times New Roman"/>
                <w:b/>
                <w:sz w:val="24"/>
                <w:szCs w:val="24"/>
              </w:rPr>
              <w:t>Via de administração</w:t>
            </w:r>
          </w:p>
        </w:tc>
      </w:tr>
      <w:tr w:rsidR="006F5677" w:rsidTr="00AB002B">
        <w:trPr>
          <w:trHeight w:val="251"/>
        </w:trPr>
        <w:tc>
          <w:tcPr>
            <w:tcW w:w="1861" w:type="dxa"/>
          </w:tcPr>
          <w:p w:rsidR="006F5677" w:rsidRPr="00845329" w:rsidRDefault="006F5677" w:rsidP="00AB002B">
            <w:pPr>
              <w:rPr>
                <w:rFonts w:ascii="Times New Roman" w:hAnsi="Times New Roman"/>
                <w:sz w:val="24"/>
                <w:szCs w:val="24"/>
              </w:rPr>
            </w:pPr>
            <w:r w:rsidRPr="00845329">
              <w:rPr>
                <w:rFonts w:ascii="Times New Roman" w:hAnsi="Times New Roman"/>
                <w:sz w:val="24"/>
                <w:szCs w:val="24"/>
              </w:rPr>
              <w:t>Cisplatina (Platistine</w:t>
            </w:r>
            <w:r w:rsidRPr="00845329">
              <w:rPr>
                <w:rFonts w:ascii="Times New Roman" w:hAnsi="Times New Roman" w:cs="Times New Roman"/>
                <w:sz w:val="24"/>
                <w:szCs w:val="24"/>
              </w:rPr>
              <w:t>®</w:t>
            </w:r>
            <w:r w:rsidRPr="00845329">
              <w:rPr>
                <w:rFonts w:ascii="Times New Roman" w:hAnsi="Times New Roman"/>
                <w:sz w:val="24"/>
                <w:szCs w:val="24"/>
              </w:rPr>
              <w:t>)</w:t>
            </w:r>
          </w:p>
        </w:tc>
        <w:tc>
          <w:tcPr>
            <w:tcW w:w="3129" w:type="dxa"/>
          </w:tcPr>
          <w:p w:rsidR="006F5677" w:rsidRPr="00845329" w:rsidRDefault="006F5677" w:rsidP="00AB002B">
            <w:pPr>
              <w:jc w:val="center"/>
              <w:rPr>
                <w:rFonts w:ascii="Times New Roman" w:hAnsi="Times New Roman"/>
                <w:sz w:val="24"/>
                <w:szCs w:val="24"/>
              </w:rPr>
            </w:pPr>
            <w:r w:rsidRPr="00845329">
              <w:rPr>
                <w:rFonts w:ascii="Times New Roman" w:hAnsi="Times New Roman"/>
                <w:sz w:val="24"/>
                <w:szCs w:val="24"/>
              </w:rPr>
              <w:t>Solução injetável</w:t>
            </w:r>
          </w:p>
        </w:tc>
        <w:tc>
          <w:tcPr>
            <w:tcW w:w="3215" w:type="dxa"/>
          </w:tcPr>
          <w:p w:rsidR="006F5677" w:rsidRPr="00845329" w:rsidRDefault="006F5677" w:rsidP="00AB002B">
            <w:pPr>
              <w:jc w:val="center"/>
              <w:rPr>
                <w:rFonts w:ascii="Times New Roman" w:hAnsi="Times New Roman"/>
                <w:sz w:val="24"/>
                <w:szCs w:val="24"/>
              </w:rPr>
            </w:pPr>
            <w:r w:rsidRPr="00845329">
              <w:rPr>
                <w:rFonts w:ascii="Times New Roman" w:hAnsi="Times New Roman"/>
                <w:sz w:val="24"/>
                <w:szCs w:val="24"/>
              </w:rPr>
              <w:t>Via intraperitoneal (IP)</w:t>
            </w:r>
          </w:p>
        </w:tc>
      </w:tr>
      <w:tr w:rsidR="006F5677" w:rsidTr="00AB002B">
        <w:trPr>
          <w:trHeight w:val="284"/>
        </w:trPr>
        <w:tc>
          <w:tcPr>
            <w:tcW w:w="1861" w:type="dxa"/>
          </w:tcPr>
          <w:p w:rsidR="006F5677" w:rsidRPr="00845329" w:rsidRDefault="006F5677" w:rsidP="00AB002B">
            <w:pPr>
              <w:rPr>
                <w:rFonts w:ascii="Times New Roman" w:hAnsi="Times New Roman"/>
                <w:sz w:val="24"/>
                <w:szCs w:val="24"/>
              </w:rPr>
            </w:pPr>
            <w:r w:rsidRPr="00845329">
              <w:rPr>
                <w:rFonts w:ascii="Times New Roman" w:hAnsi="Times New Roman"/>
                <w:sz w:val="24"/>
                <w:szCs w:val="24"/>
              </w:rPr>
              <w:t>Ácido Valpr</w:t>
            </w:r>
            <w:r>
              <w:rPr>
                <w:rFonts w:ascii="Times New Roman" w:hAnsi="Times New Roman"/>
                <w:sz w:val="24"/>
                <w:szCs w:val="24"/>
              </w:rPr>
              <w:t>o</w:t>
            </w:r>
            <w:r w:rsidRPr="00845329">
              <w:rPr>
                <w:rFonts w:ascii="Times New Roman" w:hAnsi="Times New Roman"/>
                <w:sz w:val="24"/>
                <w:szCs w:val="24"/>
              </w:rPr>
              <w:t>ico (DEPAKENE</w:t>
            </w:r>
            <w:r w:rsidRPr="00845329">
              <w:rPr>
                <w:rFonts w:ascii="Times New Roman" w:hAnsi="Times New Roman" w:cs="Times New Roman"/>
                <w:sz w:val="24"/>
                <w:szCs w:val="24"/>
              </w:rPr>
              <w:t>®</w:t>
            </w:r>
            <w:r w:rsidRPr="00845329">
              <w:rPr>
                <w:rFonts w:ascii="Times New Roman" w:hAnsi="Times New Roman"/>
                <w:sz w:val="24"/>
                <w:szCs w:val="24"/>
              </w:rPr>
              <w:t>)</w:t>
            </w:r>
          </w:p>
        </w:tc>
        <w:tc>
          <w:tcPr>
            <w:tcW w:w="3129" w:type="dxa"/>
          </w:tcPr>
          <w:p w:rsidR="006F5677" w:rsidRPr="00845329" w:rsidRDefault="006F5677" w:rsidP="00AB002B">
            <w:pPr>
              <w:jc w:val="center"/>
              <w:rPr>
                <w:rFonts w:ascii="Times New Roman" w:hAnsi="Times New Roman"/>
                <w:sz w:val="24"/>
                <w:szCs w:val="24"/>
              </w:rPr>
            </w:pPr>
            <w:r w:rsidRPr="00845329">
              <w:rPr>
                <w:rFonts w:ascii="Times New Roman" w:hAnsi="Times New Roman"/>
                <w:sz w:val="24"/>
                <w:szCs w:val="24"/>
              </w:rPr>
              <w:t>Xarope</w:t>
            </w:r>
          </w:p>
        </w:tc>
        <w:tc>
          <w:tcPr>
            <w:tcW w:w="3215" w:type="dxa"/>
          </w:tcPr>
          <w:p w:rsidR="006F5677" w:rsidRPr="00845329" w:rsidRDefault="006F5677" w:rsidP="00AB002B">
            <w:pPr>
              <w:jc w:val="center"/>
              <w:rPr>
                <w:rFonts w:ascii="Times New Roman" w:hAnsi="Times New Roman"/>
                <w:sz w:val="24"/>
                <w:szCs w:val="24"/>
              </w:rPr>
            </w:pPr>
            <w:r w:rsidRPr="00845329">
              <w:rPr>
                <w:rFonts w:ascii="Times New Roman" w:hAnsi="Times New Roman"/>
                <w:sz w:val="24"/>
                <w:szCs w:val="24"/>
              </w:rPr>
              <w:t>Via oral</w:t>
            </w:r>
          </w:p>
        </w:tc>
      </w:tr>
      <w:tr w:rsidR="006F5677" w:rsidTr="00AB002B">
        <w:trPr>
          <w:trHeight w:val="402"/>
        </w:trPr>
        <w:tc>
          <w:tcPr>
            <w:tcW w:w="1861" w:type="dxa"/>
          </w:tcPr>
          <w:p w:rsidR="006F5677" w:rsidRPr="00845329" w:rsidRDefault="006F5677" w:rsidP="00AB002B">
            <w:pPr>
              <w:rPr>
                <w:rFonts w:ascii="Times New Roman" w:hAnsi="Times New Roman"/>
                <w:sz w:val="24"/>
                <w:szCs w:val="24"/>
              </w:rPr>
            </w:pPr>
            <w:r w:rsidRPr="00845329">
              <w:rPr>
                <w:rFonts w:ascii="Times New Roman" w:hAnsi="Times New Roman"/>
                <w:sz w:val="24"/>
                <w:szCs w:val="24"/>
              </w:rPr>
              <w:t>Vitamina E</w:t>
            </w:r>
          </w:p>
        </w:tc>
        <w:tc>
          <w:tcPr>
            <w:tcW w:w="3129" w:type="dxa"/>
          </w:tcPr>
          <w:p w:rsidR="006F5677" w:rsidRPr="00845329" w:rsidRDefault="006F5677" w:rsidP="00AB002B">
            <w:pPr>
              <w:jc w:val="center"/>
              <w:rPr>
                <w:rFonts w:ascii="Times New Roman" w:hAnsi="Times New Roman"/>
                <w:sz w:val="24"/>
                <w:szCs w:val="24"/>
              </w:rPr>
            </w:pPr>
            <w:commentRangeStart w:id="1"/>
            <w:r>
              <w:rPr>
                <w:rFonts w:ascii="Times New Roman" w:hAnsi="Times New Roman"/>
                <w:sz w:val="24"/>
                <w:szCs w:val="24"/>
              </w:rPr>
              <w:t>Xarope</w:t>
            </w:r>
            <w:commentRangeEnd w:id="1"/>
            <w:r>
              <w:rPr>
                <w:rStyle w:val="CommentReference"/>
                <w:rFonts w:ascii="Calibri" w:eastAsia="Calibri" w:hAnsi="Calibri" w:cs="Times New Roman"/>
                <w:lang w:val="x-none" w:eastAsia="x-none"/>
              </w:rPr>
              <w:commentReference w:id="1"/>
            </w:r>
          </w:p>
        </w:tc>
        <w:tc>
          <w:tcPr>
            <w:tcW w:w="3215" w:type="dxa"/>
          </w:tcPr>
          <w:p w:rsidR="006F5677" w:rsidRPr="00845329" w:rsidRDefault="006F5677" w:rsidP="00AB002B">
            <w:pPr>
              <w:rPr>
                <w:rFonts w:ascii="Times New Roman" w:hAnsi="Times New Roman"/>
                <w:sz w:val="24"/>
                <w:szCs w:val="24"/>
              </w:rPr>
            </w:pPr>
            <w:r>
              <w:rPr>
                <w:rFonts w:ascii="Times New Roman" w:hAnsi="Times New Roman"/>
                <w:sz w:val="24"/>
                <w:szCs w:val="24"/>
              </w:rPr>
              <w:t xml:space="preserve">           Via intraperitoneal</w:t>
            </w:r>
          </w:p>
        </w:tc>
      </w:tr>
    </w:tbl>
    <w:p w:rsidR="006F5677" w:rsidRDefault="006F5677" w:rsidP="006F5677">
      <w:pPr>
        <w:rPr>
          <w:rFonts w:ascii="Times New Roman" w:hAnsi="Times New Roman"/>
          <w:b/>
          <w:sz w:val="24"/>
          <w:szCs w:val="24"/>
        </w:rPr>
      </w:pPr>
    </w:p>
    <w:p w:rsidR="006F5677" w:rsidRDefault="006F5677" w:rsidP="006F5677">
      <w:pPr>
        <w:rPr>
          <w:rFonts w:ascii="Times New Roman" w:hAnsi="Times New Roman"/>
          <w:b/>
          <w:sz w:val="24"/>
          <w:szCs w:val="24"/>
        </w:rPr>
      </w:pPr>
      <w:r>
        <w:rPr>
          <w:rFonts w:ascii="Times New Roman" w:hAnsi="Times New Roman"/>
          <w:b/>
          <w:sz w:val="24"/>
          <w:szCs w:val="24"/>
        </w:rPr>
        <w:t>3.3 Tratamento</w:t>
      </w:r>
    </w:p>
    <w:p w:rsidR="006F5677" w:rsidRDefault="006F5677" w:rsidP="006F5677">
      <w:pPr>
        <w:autoSpaceDE w:val="0"/>
        <w:spacing w:line="360" w:lineRule="auto"/>
        <w:ind w:firstLine="708"/>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 xml:space="preserve">Serão feitos dois tipos de protocolos: prevenção e reversão. No primeiro, será </w:t>
      </w:r>
      <w:r w:rsidRPr="003D0A6E">
        <w:rPr>
          <w:rFonts w:ascii="Times New Roman" w:eastAsia="Times New Roman" w:hAnsi="Times New Roman"/>
          <w:sz w:val="24"/>
          <w:szCs w:val="24"/>
          <w:lang w:eastAsia="pt-BR"/>
        </w:rPr>
        <w:t>re</w:t>
      </w:r>
      <w:r>
        <w:rPr>
          <w:rFonts w:ascii="Times New Roman" w:eastAsia="Times New Roman" w:hAnsi="Times New Roman"/>
          <w:sz w:val="24"/>
          <w:szCs w:val="24"/>
          <w:lang w:eastAsia="pt-BR"/>
        </w:rPr>
        <w:t>alizado</w:t>
      </w:r>
      <w:r w:rsidRPr="003D0A6E">
        <w:rPr>
          <w:rFonts w:ascii="Times New Roman" w:eastAsia="Times New Roman" w:hAnsi="Times New Roman"/>
          <w:sz w:val="24"/>
          <w:szCs w:val="24"/>
          <w:lang w:eastAsia="pt-BR"/>
        </w:rPr>
        <w:t xml:space="preserve"> o </w:t>
      </w:r>
      <w:r>
        <w:rPr>
          <w:rFonts w:ascii="Times New Roman" w:eastAsia="Times New Roman" w:hAnsi="Times New Roman"/>
          <w:sz w:val="24"/>
          <w:szCs w:val="24"/>
          <w:lang w:eastAsia="pt-BR"/>
        </w:rPr>
        <w:t>pré-</w:t>
      </w:r>
      <w:r w:rsidRPr="003D0A6E">
        <w:rPr>
          <w:rFonts w:ascii="Times New Roman" w:eastAsia="Times New Roman" w:hAnsi="Times New Roman"/>
          <w:sz w:val="24"/>
          <w:szCs w:val="24"/>
          <w:lang w:eastAsia="pt-BR"/>
        </w:rPr>
        <w:t xml:space="preserve">tratamento </w:t>
      </w:r>
      <w:r>
        <w:rPr>
          <w:rFonts w:ascii="Times New Roman" w:eastAsia="Times New Roman" w:hAnsi="Times New Roman"/>
          <w:sz w:val="24"/>
          <w:szCs w:val="24"/>
          <w:lang w:eastAsia="pt-BR"/>
        </w:rPr>
        <w:t>com ácido valproico e/ou vitamina E durante sete dias e posteriormente iniciará o tratamento com cisplatina (5mg/kg/semana) durante cinco semanas concomitante com o tratamento com ácido valproico ou vitamina E. No segundo será realizado o tratamento com cisplatina (5mg/kg/semana) durante cinco semanas consecutivas, tratamento no qual induz os sintomas neurotóxicos por cisplatina no cérebro (</w:t>
      </w:r>
      <w:r w:rsidRPr="0071041E">
        <w:rPr>
          <w:rFonts w:ascii="Times New Roman" w:hAnsi="Times New Roman" w:cs="Times New Roman"/>
          <w:sz w:val="24"/>
          <w:szCs w:val="24"/>
        </w:rPr>
        <w:t>CHTOUROU et. al</w:t>
      </w:r>
      <w:r>
        <w:rPr>
          <w:rFonts w:ascii="Times New Roman" w:hAnsi="Times New Roman" w:cs="Times New Roman"/>
          <w:sz w:val="24"/>
          <w:szCs w:val="24"/>
        </w:rPr>
        <w:t xml:space="preserve">, </w:t>
      </w:r>
      <w:r w:rsidRPr="0071041E">
        <w:rPr>
          <w:rFonts w:ascii="Times New Roman" w:hAnsi="Times New Roman" w:cs="Times New Roman"/>
          <w:sz w:val="24"/>
          <w:szCs w:val="24"/>
        </w:rPr>
        <w:t>2015</w:t>
      </w:r>
      <w:r>
        <w:rPr>
          <w:rFonts w:ascii="Times New Roman" w:eastAsia="Times New Roman" w:hAnsi="Times New Roman"/>
          <w:sz w:val="24"/>
          <w:szCs w:val="24"/>
          <w:lang w:eastAsia="pt-BR"/>
        </w:rPr>
        <w:t>), na segunda semana será iniciado tratamento com ácido valproico e/ou vitamina E. As doses de ácido valproico foram baseadas em estudos anteriores (XIMENES et. al,2015; CHU et.al, 2015) e a dose da vitamina E foi escolhido através da conversão de dose recomendada diária para adultos humanos (</w:t>
      </w:r>
      <w:r w:rsidRPr="009E1B53">
        <w:rPr>
          <w:rFonts w:ascii="Times New Roman" w:hAnsi="Times New Roman" w:cs="Times New Roman"/>
          <w:sz w:val="24"/>
          <w:szCs w:val="24"/>
        </w:rPr>
        <w:t xml:space="preserve">REAGAN-SHAW </w:t>
      </w:r>
      <w:r>
        <w:rPr>
          <w:rFonts w:ascii="Times New Roman" w:hAnsi="Times New Roman" w:cs="Times New Roman"/>
          <w:sz w:val="24"/>
          <w:szCs w:val="24"/>
        </w:rPr>
        <w:t>e</w:t>
      </w:r>
      <w:r w:rsidRPr="009E1B53">
        <w:rPr>
          <w:rFonts w:ascii="Times New Roman" w:hAnsi="Times New Roman" w:cs="Times New Roman"/>
          <w:iCs/>
          <w:sz w:val="24"/>
          <w:szCs w:val="24"/>
        </w:rPr>
        <w:t xml:space="preserve">t </w:t>
      </w:r>
      <w:r>
        <w:rPr>
          <w:rFonts w:ascii="Times New Roman" w:hAnsi="Times New Roman" w:cs="Times New Roman"/>
          <w:iCs/>
          <w:sz w:val="24"/>
          <w:szCs w:val="24"/>
        </w:rPr>
        <w:t>a</w:t>
      </w:r>
      <w:r w:rsidRPr="009E1B53">
        <w:rPr>
          <w:rFonts w:ascii="Times New Roman" w:hAnsi="Times New Roman" w:cs="Times New Roman"/>
          <w:iCs/>
          <w:sz w:val="24"/>
          <w:szCs w:val="24"/>
        </w:rPr>
        <w:t>l, 2007</w:t>
      </w:r>
      <w:r>
        <w:rPr>
          <w:rFonts w:ascii="Times New Roman" w:hAnsi="Times New Roman" w:cs="Times New Roman"/>
          <w:iCs/>
          <w:sz w:val="24"/>
          <w:szCs w:val="24"/>
        </w:rPr>
        <w:t>)</w:t>
      </w:r>
      <w:r>
        <w:rPr>
          <w:rFonts w:ascii="Times New Roman" w:eastAsia="Times New Roman" w:hAnsi="Times New Roman"/>
          <w:sz w:val="24"/>
          <w:szCs w:val="24"/>
          <w:lang w:eastAsia="pt-BR"/>
        </w:rPr>
        <w:t xml:space="preserve"> ) para a dose equivalente em ratos ( ). Cada grupo será constituído por oito animais. Os animais serão tratados conforme o esquema abaixo:</w:t>
      </w:r>
    </w:p>
    <w:p w:rsidR="006F5677" w:rsidRDefault="006F5677" w:rsidP="006F5677">
      <w:pPr>
        <w:autoSpaceDE w:val="0"/>
        <w:spacing w:line="360" w:lineRule="auto"/>
        <w:jc w:val="both"/>
        <w:rPr>
          <w:rFonts w:ascii="Times New Roman" w:eastAsia="Times New Roman" w:hAnsi="Times New Roman"/>
          <w:sz w:val="24"/>
          <w:szCs w:val="24"/>
          <w:lang w:eastAsia="pt-BR"/>
        </w:rPr>
      </w:pPr>
      <w:r w:rsidRPr="00B15304">
        <w:rPr>
          <w:rFonts w:ascii="Times New Roman" w:eastAsia="Times New Roman" w:hAnsi="Times New Roman"/>
          <w:b/>
          <w:sz w:val="24"/>
          <w:szCs w:val="24"/>
          <w:lang w:eastAsia="pt-BR"/>
        </w:rPr>
        <w:t xml:space="preserve">Figura </w:t>
      </w:r>
      <w:r>
        <w:rPr>
          <w:rFonts w:ascii="Times New Roman" w:eastAsia="Times New Roman" w:hAnsi="Times New Roman"/>
          <w:b/>
          <w:sz w:val="24"/>
          <w:szCs w:val="24"/>
          <w:lang w:eastAsia="pt-BR"/>
        </w:rPr>
        <w:t>1</w:t>
      </w:r>
      <w:r w:rsidRPr="00B15304">
        <w:rPr>
          <w:rFonts w:ascii="Times New Roman" w:eastAsia="Times New Roman" w:hAnsi="Times New Roman"/>
          <w:b/>
          <w:sz w:val="24"/>
          <w:szCs w:val="24"/>
          <w:lang w:eastAsia="pt-BR"/>
        </w:rPr>
        <w:t>:</w:t>
      </w:r>
      <w:r>
        <w:rPr>
          <w:rFonts w:ascii="Times New Roman" w:eastAsia="Times New Roman" w:hAnsi="Times New Roman"/>
          <w:sz w:val="24"/>
          <w:szCs w:val="24"/>
          <w:lang w:eastAsia="pt-BR"/>
        </w:rPr>
        <w:t xml:space="preserve"> Esquema tratamento de prevenção</w:t>
      </w:r>
    </w:p>
    <w:p w:rsidR="006F5677" w:rsidRPr="003D0A6E" w:rsidRDefault="006F5677" w:rsidP="006F5677">
      <w:pPr>
        <w:autoSpaceDE w:val="0"/>
        <w:spacing w:line="360" w:lineRule="auto"/>
        <w:ind w:firstLine="708"/>
        <w:jc w:val="both"/>
        <w:rPr>
          <w:rFonts w:ascii="Times New Roman" w:eastAsia="Times New Roman" w:hAnsi="Times New Roman"/>
          <w:sz w:val="24"/>
          <w:szCs w:val="24"/>
          <w:lang w:eastAsia="pt-BR"/>
        </w:rPr>
      </w:pPr>
      <w:r>
        <w:rPr>
          <w:rFonts w:ascii="Times New Roman" w:eastAsia="Times New Roman" w:hAnsi="Times New Roman"/>
          <w:noProof/>
          <w:sz w:val="24"/>
          <w:szCs w:val="24"/>
          <w:lang w:val="en-US"/>
        </w:rPr>
        <w:drawing>
          <wp:inline distT="0" distB="0" distL="0" distR="0" wp14:anchorId="5EDAE5FA" wp14:editId="0EB59F1C">
            <wp:extent cx="5050406" cy="3306726"/>
            <wp:effectExtent l="0" t="0" r="0"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0451" cy="3306755"/>
                    </a:xfrm>
                    <a:prstGeom prst="rect">
                      <a:avLst/>
                    </a:prstGeom>
                    <a:noFill/>
                    <a:ln>
                      <a:noFill/>
                    </a:ln>
                  </pic:spPr>
                </pic:pic>
              </a:graphicData>
            </a:graphic>
          </wp:inline>
        </w:drawing>
      </w:r>
    </w:p>
    <w:p w:rsidR="006F5677" w:rsidRDefault="006F5677" w:rsidP="006F5677">
      <w:pPr>
        <w:rPr>
          <w:rFonts w:ascii="Times New Roman" w:hAnsi="Times New Roman"/>
          <w:b/>
          <w:sz w:val="24"/>
          <w:szCs w:val="24"/>
        </w:rPr>
      </w:pPr>
      <w:r w:rsidRPr="00B15304">
        <w:rPr>
          <w:rFonts w:ascii="Times New Roman" w:hAnsi="Times New Roman"/>
          <w:sz w:val="24"/>
          <w:szCs w:val="24"/>
        </w:rPr>
        <w:t>Fonte: próprio autor</w:t>
      </w:r>
    </w:p>
    <w:p w:rsidR="006F5677" w:rsidRPr="00B15304" w:rsidRDefault="006F5677" w:rsidP="006F5677">
      <w:pPr>
        <w:rPr>
          <w:rFonts w:ascii="Times New Roman" w:hAnsi="Times New Roman"/>
          <w:sz w:val="24"/>
          <w:szCs w:val="24"/>
        </w:rPr>
      </w:pPr>
      <w:r>
        <w:rPr>
          <w:rFonts w:ascii="Times New Roman" w:hAnsi="Times New Roman"/>
          <w:b/>
          <w:sz w:val="24"/>
          <w:szCs w:val="24"/>
        </w:rPr>
        <w:t xml:space="preserve">Figura 2: </w:t>
      </w:r>
      <w:r>
        <w:rPr>
          <w:rFonts w:ascii="Times New Roman" w:hAnsi="Times New Roman"/>
          <w:sz w:val="24"/>
          <w:szCs w:val="24"/>
        </w:rPr>
        <w:t>esquema de tratamento de reversão</w:t>
      </w:r>
    </w:p>
    <w:p w:rsidR="006F5677" w:rsidRDefault="006F5677" w:rsidP="006F5677">
      <w:pPr>
        <w:rPr>
          <w:rFonts w:ascii="Times New Roman" w:hAnsi="Times New Roman"/>
          <w:b/>
          <w:sz w:val="24"/>
          <w:szCs w:val="24"/>
        </w:rPr>
      </w:pPr>
      <w:r>
        <w:rPr>
          <w:rFonts w:ascii="Times New Roman" w:hAnsi="Times New Roman"/>
          <w:b/>
          <w:noProof/>
          <w:sz w:val="24"/>
          <w:szCs w:val="24"/>
          <w:lang w:val="en-US"/>
        </w:rPr>
        <w:drawing>
          <wp:inline distT="0" distB="0" distL="0" distR="0" wp14:anchorId="3838C8B0" wp14:editId="7577D0B1">
            <wp:extent cx="5401338" cy="3221665"/>
            <wp:effectExtent l="0" t="0" r="889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1555" cy="3221794"/>
                    </a:xfrm>
                    <a:prstGeom prst="rect">
                      <a:avLst/>
                    </a:prstGeom>
                    <a:noFill/>
                    <a:ln>
                      <a:noFill/>
                    </a:ln>
                  </pic:spPr>
                </pic:pic>
              </a:graphicData>
            </a:graphic>
          </wp:inline>
        </w:drawing>
      </w:r>
    </w:p>
    <w:p w:rsidR="006F5677" w:rsidRPr="00B15304" w:rsidRDefault="006F5677" w:rsidP="006F5677">
      <w:pPr>
        <w:rPr>
          <w:rFonts w:ascii="Times New Roman" w:hAnsi="Times New Roman"/>
          <w:sz w:val="24"/>
          <w:szCs w:val="24"/>
        </w:rPr>
      </w:pPr>
      <w:r w:rsidRPr="00B15304">
        <w:rPr>
          <w:rFonts w:ascii="Times New Roman" w:hAnsi="Times New Roman"/>
          <w:sz w:val="24"/>
          <w:szCs w:val="24"/>
        </w:rPr>
        <w:t>Fonte: próprio autor</w:t>
      </w:r>
    </w:p>
    <w:p w:rsidR="006F5677" w:rsidRDefault="006F5677" w:rsidP="006F5677">
      <w:pPr>
        <w:rPr>
          <w:rFonts w:ascii="Times New Roman" w:hAnsi="Times New Roman"/>
          <w:b/>
          <w:sz w:val="24"/>
          <w:szCs w:val="24"/>
        </w:rPr>
      </w:pPr>
    </w:p>
    <w:p w:rsidR="006F5677" w:rsidRPr="00BC5447" w:rsidRDefault="006F5677" w:rsidP="006F5677">
      <w:pPr>
        <w:autoSpaceDE w:val="0"/>
        <w:spacing w:line="360" w:lineRule="auto"/>
        <w:ind w:firstLine="708"/>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Os estudos comportamentais serão avaliados 30 minutos antes do início do tratamento com as drogas, no 7º dia (tratamento prevenção) e  n</w:t>
      </w:r>
      <w:r w:rsidRPr="003D0A6E">
        <w:rPr>
          <w:rFonts w:ascii="Times New Roman" w:eastAsia="Times New Roman" w:hAnsi="Times New Roman"/>
          <w:sz w:val="24"/>
          <w:szCs w:val="24"/>
          <w:lang w:eastAsia="pt-BR"/>
        </w:rPr>
        <w:t xml:space="preserve">o </w:t>
      </w:r>
      <w:r>
        <w:rPr>
          <w:rFonts w:ascii="Times New Roman" w:eastAsia="Times New Roman" w:hAnsi="Times New Roman"/>
          <w:sz w:val="24"/>
          <w:szCs w:val="24"/>
          <w:lang w:eastAsia="pt-BR"/>
        </w:rPr>
        <w:t>último</w:t>
      </w:r>
      <w:r w:rsidRPr="003D0A6E">
        <w:rPr>
          <w:rFonts w:ascii="Times New Roman" w:eastAsia="Times New Roman" w:hAnsi="Times New Roman"/>
          <w:sz w:val="24"/>
          <w:szCs w:val="24"/>
          <w:lang w:eastAsia="pt-BR"/>
        </w:rPr>
        <w:t xml:space="preserve"> dia de tratamento</w:t>
      </w:r>
      <w:r>
        <w:rPr>
          <w:rFonts w:ascii="Times New Roman" w:eastAsia="Times New Roman" w:hAnsi="Times New Roman"/>
          <w:sz w:val="24"/>
          <w:szCs w:val="24"/>
          <w:lang w:eastAsia="pt-BR"/>
        </w:rPr>
        <w:t xml:space="preserve"> em ambos os protocolos de tratamento</w:t>
      </w:r>
      <w:r w:rsidRPr="003D0A6E">
        <w:rPr>
          <w:rFonts w:ascii="Times New Roman" w:eastAsia="Times New Roman" w:hAnsi="Times New Roman"/>
          <w:sz w:val="24"/>
          <w:szCs w:val="24"/>
          <w:lang w:eastAsia="pt-BR"/>
        </w:rPr>
        <w:t xml:space="preserve">, </w:t>
      </w:r>
      <w:r>
        <w:rPr>
          <w:rFonts w:ascii="Times New Roman" w:eastAsia="Times New Roman" w:hAnsi="Times New Roman"/>
          <w:sz w:val="24"/>
          <w:szCs w:val="24"/>
          <w:lang w:eastAsia="pt-BR"/>
        </w:rPr>
        <w:t>individualmente 2 h após a última administração, de maneira que o comportamento de cada animal servirá para comparação com ele próprio, desta forma será possível acessar os efeitos do tratamento comparando com o 1º dia de tratamento e se as drogas estão sendo eficazes, caso-a-caso</w:t>
      </w:r>
      <w:r w:rsidRPr="003D0A6E">
        <w:rPr>
          <w:rFonts w:ascii="Times New Roman" w:eastAsia="Times New Roman" w:hAnsi="Times New Roman"/>
          <w:sz w:val="24"/>
          <w:szCs w:val="24"/>
          <w:lang w:eastAsia="pt-BR"/>
        </w:rPr>
        <w:t xml:space="preserve">. Os camundongos serão sacrificados por decapitação </w:t>
      </w:r>
      <w:r>
        <w:rPr>
          <w:rFonts w:ascii="Times New Roman" w:eastAsia="Times New Roman" w:hAnsi="Times New Roman"/>
          <w:sz w:val="24"/>
          <w:szCs w:val="24"/>
          <w:lang w:eastAsia="pt-BR"/>
        </w:rPr>
        <w:t>imediatamente após as determinações comportamentais</w:t>
      </w:r>
      <w:r w:rsidRPr="003D0A6E">
        <w:rPr>
          <w:rFonts w:ascii="Times New Roman" w:eastAsia="Times New Roman" w:hAnsi="Times New Roman"/>
          <w:sz w:val="24"/>
          <w:szCs w:val="24"/>
          <w:lang w:eastAsia="pt-BR"/>
        </w:rPr>
        <w:t xml:space="preserve"> e</w:t>
      </w:r>
      <w:r>
        <w:rPr>
          <w:rFonts w:ascii="Times New Roman" w:eastAsia="Times New Roman" w:hAnsi="Times New Roman"/>
          <w:sz w:val="24"/>
          <w:szCs w:val="24"/>
          <w:lang w:eastAsia="pt-BR"/>
        </w:rPr>
        <w:t xml:space="preserve"> as</w:t>
      </w:r>
      <w:r w:rsidRPr="003D0A6E">
        <w:rPr>
          <w:rFonts w:ascii="Times New Roman" w:eastAsia="Times New Roman" w:hAnsi="Times New Roman"/>
          <w:sz w:val="24"/>
          <w:szCs w:val="24"/>
          <w:lang w:eastAsia="pt-BR"/>
        </w:rPr>
        <w:t xml:space="preserve"> áreas cerebrais serão disseca</w:t>
      </w:r>
      <w:r>
        <w:rPr>
          <w:rFonts w:ascii="Times New Roman" w:eastAsia="Times New Roman" w:hAnsi="Times New Roman"/>
          <w:sz w:val="24"/>
          <w:szCs w:val="24"/>
          <w:lang w:eastAsia="pt-BR"/>
        </w:rPr>
        <w:t xml:space="preserve">das (hipocampo, </w:t>
      </w:r>
      <w:r w:rsidRPr="003D0A6E">
        <w:rPr>
          <w:rFonts w:ascii="Times New Roman" w:eastAsia="Times New Roman" w:hAnsi="Times New Roman"/>
          <w:sz w:val="24"/>
          <w:szCs w:val="24"/>
          <w:lang w:eastAsia="pt-BR"/>
        </w:rPr>
        <w:t>córtex pré-frontal</w:t>
      </w:r>
      <w:r>
        <w:rPr>
          <w:rFonts w:ascii="Times New Roman" w:eastAsia="Times New Roman" w:hAnsi="Times New Roman"/>
          <w:sz w:val="24"/>
          <w:szCs w:val="24"/>
          <w:lang w:eastAsia="pt-BR"/>
        </w:rPr>
        <w:t xml:space="preserve"> córtex temporal</w:t>
      </w:r>
      <w:r w:rsidRPr="003D0A6E">
        <w:rPr>
          <w:rFonts w:ascii="Times New Roman" w:eastAsia="Times New Roman" w:hAnsi="Times New Roman"/>
          <w:sz w:val="24"/>
          <w:szCs w:val="24"/>
          <w:lang w:eastAsia="pt-BR"/>
        </w:rPr>
        <w:t>), rapidamente congeladas e armazenadas a -70° C até a análise</w:t>
      </w:r>
      <w:r>
        <w:rPr>
          <w:rFonts w:ascii="Times New Roman" w:eastAsia="Times New Roman" w:hAnsi="Times New Roman"/>
          <w:sz w:val="24"/>
          <w:szCs w:val="24"/>
          <w:lang w:eastAsia="pt-BR"/>
        </w:rPr>
        <w:t xml:space="preserve"> bioquímica</w:t>
      </w:r>
      <w:r w:rsidRPr="003D0A6E">
        <w:rPr>
          <w:rFonts w:ascii="Times New Roman" w:eastAsia="Times New Roman" w:hAnsi="Times New Roman"/>
          <w:sz w:val="24"/>
          <w:szCs w:val="24"/>
          <w:lang w:eastAsia="pt-BR"/>
        </w:rPr>
        <w:t>.</w:t>
      </w:r>
      <w:r>
        <w:rPr>
          <w:rFonts w:ascii="Times New Roman" w:eastAsia="Times New Roman" w:hAnsi="Times New Roman"/>
          <w:sz w:val="24"/>
          <w:szCs w:val="24"/>
          <w:lang w:eastAsia="pt-BR"/>
        </w:rPr>
        <w:t xml:space="preserve"> </w:t>
      </w:r>
    </w:p>
    <w:p w:rsidR="006F5677" w:rsidRDefault="006F5677" w:rsidP="006F5677">
      <w:pPr>
        <w:rPr>
          <w:rFonts w:ascii="Times New Roman" w:hAnsi="Times New Roman"/>
          <w:b/>
          <w:sz w:val="24"/>
          <w:szCs w:val="24"/>
        </w:rPr>
      </w:pPr>
    </w:p>
    <w:p w:rsidR="006F5677" w:rsidRPr="0024219A" w:rsidRDefault="006F5677" w:rsidP="006F5677">
      <w:pPr>
        <w:rPr>
          <w:rFonts w:ascii="Times New Roman" w:hAnsi="Times New Roman"/>
          <w:b/>
          <w:sz w:val="24"/>
          <w:szCs w:val="24"/>
        </w:rPr>
      </w:pPr>
      <w:r w:rsidRPr="0024219A">
        <w:rPr>
          <w:rFonts w:ascii="Times New Roman" w:hAnsi="Times New Roman"/>
          <w:b/>
          <w:sz w:val="24"/>
          <w:szCs w:val="24"/>
        </w:rPr>
        <w:t>3.4 Estudo dos efeitos comportamentais</w:t>
      </w:r>
    </w:p>
    <w:p w:rsidR="006F5677" w:rsidRPr="00D458B7" w:rsidRDefault="006F5677" w:rsidP="006F5677">
      <w:pPr>
        <w:rPr>
          <w:rFonts w:ascii="Times New Roman" w:hAnsi="Times New Roman"/>
          <w:b/>
          <w:sz w:val="24"/>
          <w:szCs w:val="24"/>
        </w:rPr>
      </w:pPr>
      <w:r w:rsidRPr="00D458B7">
        <w:rPr>
          <w:rFonts w:ascii="Times New Roman" w:hAnsi="Times New Roman"/>
          <w:b/>
          <w:sz w:val="24"/>
          <w:szCs w:val="24"/>
        </w:rPr>
        <w:t>3.4.1 Campo Aberto</w:t>
      </w:r>
    </w:p>
    <w:p w:rsidR="006F5677" w:rsidRPr="00150622" w:rsidRDefault="006F5677" w:rsidP="006F5677">
      <w:pPr>
        <w:pStyle w:val="BodyText"/>
        <w:spacing w:line="400" w:lineRule="atLeast"/>
      </w:pPr>
      <w:r w:rsidRPr="00150622">
        <w:rPr>
          <w:szCs w:val="24"/>
        </w:rPr>
        <w:t>O presente e</w:t>
      </w:r>
      <w:r w:rsidRPr="00150622">
        <w:t>xperimento é utilizado para avaliar a atividade exploratória do animal (A</w:t>
      </w:r>
      <w:r>
        <w:t>RCHER</w:t>
      </w:r>
      <w:r w:rsidRPr="00150622">
        <w:t xml:space="preserve">, 1973). </w:t>
      </w:r>
      <w:r w:rsidRPr="00150622">
        <w:rPr>
          <w:lang w:bidi="he-IL"/>
        </w:rPr>
        <w:t xml:space="preserve">Os animais serão colocados em um campo aberto, com área de 50 x 50 cm. </w:t>
      </w:r>
      <w:r w:rsidRPr="00150622">
        <w:t>P</w:t>
      </w:r>
      <w:r w:rsidRPr="00150622">
        <w:rPr>
          <w:lang w:bidi="he-IL"/>
        </w:rPr>
        <w:t xml:space="preserve">reviamente, serão habituados durante 1 minuto ao campo aberto e, posteriormente, submetidos ao teste durante 5 minutos. </w:t>
      </w:r>
      <w:r w:rsidRPr="00150622">
        <w:t xml:space="preserve">O parâmetro para observação será o número de cruzamentos com as quatro patas (movimentação espontânea ou atividade locomotora espontânea/ALE), registrados durante um período de 5 minutos. </w:t>
      </w:r>
    </w:p>
    <w:p w:rsidR="006F5677" w:rsidRDefault="006F5677" w:rsidP="006F5677">
      <w:pPr>
        <w:jc w:val="both"/>
        <w:rPr>
          <w:color w:val="000000"/>
        </w:rPr>
      </w:pPr>
    </w:p>
    <w:p w:rsidR="006F5677" w:rsidRDefault="006F5677" w:rsidP="006F5677">
      <w:pPr>
        <w:rPr>
          <w:rFonts w:ascii="Times New Roman" w:hAnsi="Times New Roman"/>
          <w:sz w:val="24"/>
          <w:szCs w:val="24"/>
        </w:rPr>
      </w:pPr>
    </w:p>
    <w:p w:rsidR="006F5677" w:rsidRPr="003B5B72" w:rsidRDefault="006F5677" w:rsidP="006F5677">
      <w:pPr>
        <w:rPr>
          <w:rFonts w:ascii="Times New Roman" w:hAnsi="Times New Roman"/>
          <w:b/>
          <w:sz w:val="24"/>
          <w:szCs w:val="24"/>
        </w:rPr>
      </w:pPr>
      <w:r w:rsidRPr="003B5B72">
        <w:rPr>
          <w:rFonts w:ascii="Times New Roman" w:hAnsi="Times New Roman"/>
          <w:b/>
          <w:sz w:val="24"/>
          <w:szCs w:val="24"/>
        </w:rPr>
        <w:t>3.4.2 Reconhecimento de objeto novo (NOR)</w:t>
      </w:r>
    </w:p>
    <w:p w:rsidR="006F5677" w:rsidRPr="00667DAA" w:rsidRDefault="006F5677" w:rsidP="006F5677">
      <w:pPr>
        <w:autoSpaceDE w:val="0"/>
        <w:autoSpaceDN w:val="0"/>
        <w:adjustRightInd w:val="0"/>
        <w:spacing w:line="360" w:lineRule="auto"/>
        <w:jc w:val="both"/>
        <w:rPr>
          <w:rFonts w:ascii="Times New Roman" w:eastAsia="Times New Roman" w:hAnsi="Times New Roman" w:cs="Times New Roman"/>
          <w:sz w:val="24"/>
          <w:szCs w:val="24"/>
        </w:rPr>
      </w:pPr>
      <w:r w:rsidRPr="00667DAA">
        <w:rPr>
          <w:rFonts w:ascii="Times New Roman" w:eastAsia="Times New Roman" w:hAnsi="Times New Roman" w:cs="Times New Roman"/>
          <w:sz w:val="24"/>
          <w:szCs w:val="24"/>
        </w:rPr>
        <w:t>O teste de reconhecimento do objeto novo é baseado na avaliação das diferenças de tempo de exploração de objetos novos e familiares. Embora parâmetros como atenção e ansiedade também possam ser avaliados por esse teste (GOULART et al., 2010; SILVERS et al., 2007) , ele tem sido amplamente utilizado para investigação de alterações na memória, sobretudo no que diz respeito à memória de reconhecimento, e para esse fim será utilizado nesse estudo. Além disso, n</w:t>
      </w:r>
      <w:r>
        <w:rPr>
          <w:rFonts w:ascii="Times New Roman" w:eastAsia="Times New Roman" w:hAnsi="Times New Roman" w:cs="Times New Roman"/>
          <w:sz w:val="24"/>
          <w:szCs w:val="24"/>
        </w:rPr>
        <w:t>o</w:t>
      </w:r>
      <w:r w:rsidRPr="00667DAA">
        <w:rPr>
          <w:rFonts w:ascii="Times New Roman" w:eastAsia="Times New Roman" w:hAnsi="Times New Roman" w:cs="Times New Roman"/>
          <w:sz w:val="24"/>
          <w:szCs w:val="24"/>
        </w:rPr>
        <w:t>s deteremos na avaliação da memória de reconhecimento de curta duração.</w:t>
      </w:r>
    </w:p>
    <w:p w:rsidR="006F5677" w:rsidRPr="00667DAA" w:rsidRDefault="006F5677" w:rsidP="006F5677">
      <w:pPr>
        <w:autoSpaceDE w:val="0"/>
        <w:autoSpaceDN w:val="0"/>
        <w:adjustRightInd w:val="0"/>
        <w:spacing w:line="360" w:lineRule="auto"/>
        <w:jc w:val="both"/>
        <w:rPr>
          <w:rFonts w:ascii="Times New Roman" w:eastAsia="Times New Roman" w:hAnsi="Times New Roman" w:cs="Times New Roman"/>
          <w:sz w:val="24"/>
          <w:szCs w:val="24"/>
        </w:rPr>
      </w:pPr>
      <w:r w:rsidRPr="00667DAA">
        <w:rPr>
          <w:rFonts w:ascii="Times New Roman" w:eastAsia="Times New Roman" w:hAnsi="Times New Roman" w:cs="Times New Roman"/>
          <w:sz w:val="24"/>
          <w:szCs w:val="24"/>
        </w:rPr>
        <w:t xml:space="preserve"> O teste consiste em três etapas: habituação, familiarização e fase teste executadas de acordo com </w:t>
      </w:r>
      <w:r w:rsidRPr="00667DAA">
        <w:rPr>
          <w:rFonts w:ascii="Times New Roman" w:hAnsi="Times New Roman" w:cs="Times New Roman"/>
          <w:sz w:val="24"/>
          <w:szCs w:val="24"/>
        </w:rPr>
        <w:t>ENNACEUR E DELACOUR et al.(1988) e adaptadas por Taglialatela et al. (2009)</w:t>
      </w:r>
      <w:r w:rsidRPr="00667DAA">
        <w:rPr>
          <w:rFonts w:ascii="Times New Roman" w:eastAsia="Times New Roman" w:hAnsi="Times New Roman" w:cs="Times New Roman"/>
          <w:sz w:val="24"/>
          <w:szCs w:val="24"/>
        </w:rPr>
        <w:t xml:space="preserve">, que serão discriminadas a seguir. </w:t>
      </w:r>
    </w:p>
    <w:p w:rsidR="006F5677" w:rsidRPr="00667DAA" w:rsidRDefault="006F5677" w:rsidP="006F5677">
      <w:pPr>
        <w:pStyle w:val="svarticle"/>
        <w:spacing w:line="360" w:lineRule="auto"/>
        <w:jc w:val="both"/>
      </w:pPr>
      <w:r w:rsidRPr="00667DAA">
        <w:t>Cada animal será, primeiramente, habituado em um arena de campo aberto vazia de dimensões 300 x 300 mm, com paredes 150 mm de altura e feita material acrílico transparente. Essa etapa consistirá de duas sessões de 10 minutos de duração, separadas entre si por um intervalo de 24 horas. Após 24 horas da última sessão de habituação, os animais serão submetidos à fase de familiarização, na qual serão expostos a dois objetos idênticos, denominados de objetos familiares, por tempo suficiente para que tenham todos 20 segu</w:t>
      </w:r>
      <w:r>
        <w:t>ndos de exploração desse objeto</w:t>
      </w:r>
      <w:r w:rsidRPr="00667DAA">
        <w:t xml:space="preserve">, após o qual essa fase encerra. Nesse contexto, Ennanceur e Delacour (1988) definiram como exploração o direcionamento do focinho para o objeto a uma distância de 2 cm ou menos dele, como também tocá-lo com o focinho ou cheirá-lo. Depois disso, os animais retornarão para suas caixas moradia e, após um período de 2 minutos, eles retornaram para a arena, na qual dois objetos, um idêntico ao familiar (mas não previamente usado) e outro novo. Assim, será permitido aos animais explorarem o ambiente por 10 minutos, durante o qual a quantidade de tempo explorando cada objeto será registrada. Os objetos familiar e novo serão alternados de posição para cada animal testado, e os objetos e a arena serão limpos com álcool 70-75% entre os ensaios.  </w:t>
      </w:r>
    </w:p>
    <w:p w:rsidR="006F5677" w:rsidRPr="00667DAA" w:rsidRDefault="006F5677" w:rsidP="006F5677">
      <w:pPr>
        <w:spacing w:before="100" w:beforeAutospacing="1" w:after="100" w:afterAutospacing="1" w:line="360" w:lineRule="auto"/>
        <w:jc w:val="both"/>
        <w:rPr>
          <w:rFonts w:ascii="Times New Roman" w:eastAsia="Times New Roman" w:hAnsi="Times New Roman" w:cs="Times New Roman"/>
          <w:sz w:val="24"/>
          <w:szCs w:val="24"/>
          <w:lang w:eastAsia="pt-BR"/>
        </w:rPr>
      </w:pPr>
      <w:r w:rsidRPr="00667DAA">
        <w:rPr>
          <w:rFonts w:ascii="Times New Roman" w:eastAsia="Times New Roman" w:hAnsi="Times New Roman" w:cs="Times New Roman"/>
          <w:sz w:val="24"/>
          <w:szCs w:val="24"/>
          <w:lang w:eastAsia="pt-BR"/>
        </w:rPr>
        <w:t xml:space="preserve">Ademais, o índice aferido nesse teste será o percentual de tempo explorando cada objeto (familiar versus novo), reportado como taxa de discriminação de objeto, e será calculado pela seguinte fórmula: </w:t>
      </w:r>
    </w:p>
    <w:p w:rsidR="006F5677" w:rsidRPr="00667DAA" w:rsidRDefault="006F5677" w:rsidP="006F5677">
      <w:pPr>
        <w:spacing w:before="100" w:beforeAutospacing="1" w:after="100" w:afterAutospacing="1" w:line="360" w:lineRule="auto"/>
        <w:rPr>
          <w:rFonts w:ascii="Times New Roman" w:eastAsia="Times New Roman" w:hAnsi="Times New Roman" w:cs="Times New Roman"/>
          <w:sz w:val="24"/>
          <w:szCs w:val="24"/>
          <w:lang w:eastAsia="pt-BR"/>
        </w:rPr>
      </w:pPr>
      <w:r w:rsidRPr="00667DAA">
        <w:rPr>
          <w:rFonts w:ascii="Times New Roman" w:eastAsia="Times New Roman" w:hAnsi="Times New Roman" w:cs="Times New Roman"/>
          <w:sz w:val="24"/>
          <w:szCs w:val="24"/>
          <w:lang w:eastAsia="pt-BR"/>
        </w:rPr>
        <w:t>(Tempo explorando o objeto específico/ tempo total usado na fase teste -10 min) x 100</w:t>
      </w:r>
    </w:p>
    <w:p w:rsidR="006F5677" w:rsidRDefault="006F5677" w:rsidP="006F5677">
      <w:pPr>
        <w:rPr>
          <w:rFonts w:ascii="Times New Roman" w:hAnsi="Times New Roman"/>
          <w:sz w:val="24"/>
          <w:szCs w:val="24"/>
        </w:rPr>
      </w:pPr>
    </w:p>
    <w:p w:rsidR="006F5677" w:rsidRDefault="006F5677" w:rsidP="006F5677">
      <w:pPr>
        <w:rPr>
          <w:rFonts w:ascii="Times New Roman" w:hAnsi="Times New Roman"/>
          <w:b/>
          <w:sz w:val="24"/>
          <w:szCs w:val="24"/>
        </w:rPr>
      </w:pPr>
      <w:r w:rsidRPr="00D458B7">
        <w:rPr>
          <w:rFonts w:ascii="Times New Roman" w:hAnsi="Times New Roman"/>
          <w:b/>
          <w:sz w:val="24"/>
          <w:szCs w:val="24"/>
        </w:rPr>
        <w:t xml:space="preserve">3.4.3. </w:t>
      </w:r>
      <w:commentRangeStart w:id="2"/>
      <w:r w:rsidRPr="00D458B7">
        <w:rPr>
          <w:rFonts w:ascii="Times New Roman" w:hAnsi="Times New Roman"/>
          <w:b/>
          <w:sz w:val="24"/>
          <w:szCs w:val="24"/>
        </w:rPr>
        <w:t xml:space="preserve">Y maze </w:t>
      </w:r>
      <w:commentRangeEnd w:id="2"/>
      <w:r>
        <w:rPr>
          <w:rStyle w:val="CommentReference"/>
          <w:rFonts w:ascii="Calibri" w:eastAsia="Calibri" w:hAnsi="Calibri" w:cs="Times New Roman"/>
          <w:lang w:val="x-none" w:eastAsia="x-none"/>
        </w:rPr>
        <w:commentReference w:id="2"/>
      </w:r>
    </w:p>
    <w:p w:rsidR="006F5677" w:rsidRDefault="006F5677" w:rsidP="006F5677">
      <w:pPr>
        <w:pStyle w:val="Caption"/>
        <w:spacing w:line="360" w:lineRule="auto"/>
        <w:ind w:firstLine="708"/>
        <w:jc w:val="both"/>
        <w:rPr>
          <w:rFonts w:ascii="Times New Roman" w:hAnsi="Times New Roman"/>
          <w:b w:val="0"/>
          <w:color w:val="auto"/>
          <w:sz w:val="24"/>
          <w:szCs w:val="24"/>
        </w:rPr>
      </w:pPr>
      <w:r>
        <w:rPr>
          <w:rFonts w:ascii="Times New Roman" w:hAnsi="Times New Roman"/>
          <w:b w:val="0"/>
          <w:color w:val="auto"/>
          <w:sz w:val="24"/>
          <w:szCs w:val="24"/>
        </w:rPr>
        <w:t>Para avaliação da memória de trabalho será utilizado o teste de labirinto em Y, sendo conduzido conforme descrito previamente (YAMADA et al., 1996).  O labirinto em Y é constituído de três braços idênticos (40 cm de comprimento, 25 cm de altura e 6 cm de largura), dispostos a 120</w:t>
      </w:r>
      <w:r>
        <w:rPr>
          <w:rFonts w:ascii="Times New Roman" w:hAnsi="Times New Roman"/>
          <w:b w:val="0"/>
          <w:color w:val="auto"/>
          <w:sz w:val="24"/>
          <w:szCs w:val="24"/>
          <w:vertAlign w:val="superscript"/>
        </w:rPr>
        <w:t>o</w:t>
      </w:r>
      <w:r>
        <w:rPr>
          <w:rFonts w:ascii="Times New Roman" w:hAnsi="Times New Roman"/>
          <w:b w:val="0"/>
          <w:color w:val="auto"/>
          <w:sz w:val="24"/>
          <w:szCs w:val="24"/>
        </w:rPr>
        <w:t xml:space="preserve"> um do outro, formando um triângulo central (Figura 10)</w:t>
      </w:r>
      <w:r>
        <w:rPr>
          <w:rFonts w:ascii="Times New Roman" w:hAnsi="Times New Roman"/>
          <w:sz w:val="24"/>
          <w:szCs w:val="24"/>
        </w:rPr>
        <w:t xml:space="preserve">. </w:t>
      </w:r>
      <w:r>
        <w:rPr>
          <w:rFonts w:ascii="Times New Roman" w:hAnsi="Times New Roman"/>
          <w:b w:val="0"/>
          <w:color w:val="auto"/>
          <w:sz w:val="24"/>
          <w:szCs w:val="24"/>
        </w:rPr>
        <w:t>Os animais serão colocados em um dos braços e a sequência das entradas nos braços será registrada durante oito minutos. A alternância será definida como a entrada nos três braços, em qualquer ordem, sem que houvesse repetição dos braços (por exemplo, 123, 321, 231). Após o teste, os animais serão devolvidos às suas caixas-moradia e realizar-se-á a assepsia do labirinto em Y com álcool etílico a 15% entre um animal e outro.</w:t>
      </w:r>
    </w:p>
    <w:p w:rsidR="006F5677" w:rsidRDefault="006F5677" w:rsidP="006F5677">
      <w:pPr>
        <w:autoSpaceDE w:val="0"/>
        <w:autoSpaceDN w:val="0"/>
        <w:adjustRightInd w:val="0"/>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porcentagem de alternância será calculada como a soma do número de alternâncias dividida pelo número total de entradas nos braços menos dois. Esses valores foram aplicados na fórmula a seguir: % de alternância corretas = soma de alternâncias/nº de entradas totais -2.</w:t>
      </w:r>
    </w:p>
    <w:p w:rsidR="006F5677" w:rsidRDefault="006F5677" w:rsidP="006F5677">
      <w:pPr>
        <w:rPr>
          <w:rFonts w:ascii="Times New Roman" w:hAnsi="Times New Roman"/>
          <w:sz w:val="24"/>
          <w:szCs w:val="24"/>
        </w:rPr>
      </w:pPr>
    </w:p>
    <w:p w:rsidR="006F5677" w:rsidRDefault="006F5677" w:rsidP="006F5677">
      <w:pPr>
        <w:rPr>
          <w:rFonts w:ascii="Times New Roman" w:hAnsi="Times New Roman"/>
          <w:b/>
          <w:sz w:val="24"/>
          <w:szCs w:val="24"/>
        </w:rPr>
      </w:pPr>
      <w:r w:rsidRPr="0024219A">
        <w:rPr>
          <w:rFonts w:ascii="Times New Roman" w:hAnsi="Times New Roman"/>
          <w:b/>
          <w:sz w:val="24"/>
          <w:szCs w:val="24"/>
        </w:rPr>
        <w:t>3.</w:t>
      </w:r>
      <w:r>
        <w:rPr>
          <w:rFonts w:ascii="Times New Roman" w:hAnsi="Times New Roman"/>
          <w:b/>
          <w:sz w:val="24"/>
          <w:szCs w:val="24"/>
        </w:rPr>
        <w:t>5</w:t>
      </w:r>
      <w:r w:rsidRPr="0024219A">
        <w:rPr>
          <w:rFonts w:ascii="Times New Roman" w:hAnsi="Times New Roman"/>
          <w:b/>
          <w:sz w:val="24"/>
          <w:szCs w:val="24"/>
        </w:rPr>
        <w:t>. Estudos neuroquimicos</w:t>
      </w:r>
    </w:p>
    <w:p w:rsidR="006F5677" w:rsidRPr="00D017A5" w:rsidRDefault="006F5677" w:rsidP="006F5677">
      <w:pPr>
        <w:pStyle w:val="ListParagraph"/>
        <w:numPr>
          <w:ilvl w:val="2"/>
          <w:numId w:val="2"/>
        </w:numPr>
        <w:autoSpaceDE w:val="0"/>
        <w:autoSpaceDN w:val="0"/>
        <w:adjustRightInd w:val="0"/>
        <w:spacing w:line="360" w:lineRule="auto"/>
        <w:rPr>
          <w:rFonts w:ascii="Times New Roman" w:eastAsia="Times New Roman" w:hAnsi="Times New Roman"/>
          <w:b/>
          <w:sz w:val="24"/>
          <w:szCs w:val="24"/>
          <w:lang w:eastAsia="pt-BR"/>
        </w:rPr>
      </w:pPr>
      <w:r w:rsidRPr="00D017A5">
        <w:rPr>
          <w:rFonts w:ascii="Times New Roman" w:eastAsia="Times New Roman" w:hAnsi="Times New Roman"/>
          <w:b/>
          <w:sz w:val="24"/>
          <w:szCs w:val="24"/>
          <w:lang w:eastAsia="pt-BR"/>
        </w:rPr>
        <w:t>Dosagem da superóxido dismutase (SOD)</w:t>
      </w:r>
    </w:p>
    <w:p w:rsidR="006F5677" w:rsidRPr="00F71C7A" w:rsidRDefault="006F5677" w:rsidP="006F5677">
      <w:pPr>
        <w:autoSpaceDE w:val="0"/>
        <w:autoSpaceDN w:val="0"/>
        <w:adjustRightInd w:val="0"/>
        <w:spacing w:line="360" w:lineRule="auto"/>
        <w:ind w:firstLine="708"/>
        <w:jc w:val="both"/>
        <w:rPr>
          <w:rFonts w:ascii="Times New Roman" w:eastAsia="Times New Roman" w:hAnsi="Times New Roman"/>
          <w:sz w:val="24"/>
          <w:szCs w:val="24"/>
          <w:lang w:eastAsia="pt-BR"/>
        </w:rPr>
      </w:pPr>
      <w:r w:rsidRPr="00515256">
        <w:rPr>
          <w:rFonts w:ascii="Times New Roman" w:eastAsia="Times New Roman" w:hAnsi="Times New Roman"/>
          <w:sz w:val="24"/>
          <w:szCs w:val="24"/>
          <w:lang w:eastAsia="pt-BR"/>
        </w:rPr>
        <w:t>A quantidade da enzima superóxido dismutase (SOD) será avaliada medindo-se sua capacidade de inibir a redução fotoquímica do azul de nitro-</w:t>
      </w:r>
      <w:r>
        <w:rPr>
          <w:rFonts w:ascii="Times New Roman" w:eastAsia="Times New Roman" w:hAnsi="Times New Roman"/>
          <w:sz w:val="24"/>
          <w:szCs w:val="24"/>
          <w:lang w:eastAsia="pt-BR"/>
        </w:rPr>
        <w:t>blue</w:t>
      </w:r>
      <w:r w:rsidRPr="00515256">
        <w:rPr>
          <w:rFonts w:ascii="Times New Roman" w:eastAsia="Times New Roman" w:hAnsi="Times New Roman"/>
          <w:sz w:val="24"/>
          <w:szCs w:val="24"/>
          <w:lang w:eastAsia="pt-BR"/>
        </w:rPr>
        <w:t>tetrazolio (NBT).</w:t>
      </w:r>
      <w:r>
        <w:rPr>
          <w:rFonts w:ascii="Times New Roman" w:eastAsia="Times New Roman" w:hAnsi="Times New Roman"/>
          <w:sz w:val="24"/>
          <w:szCs w:val="24"/>
          <w:lang w:eastAsia="pt-BR"/>
        </w:rPr>
        <w:t xml:space="preserve"> Os homogenatos das áreas cerebrais preparados em tampão fosfato, serão misturados</w:t>
      </w:r>
      <w:r w:rsidRPr="00515256">
        <w:rPr>
          <w:rFonts w:ascii="Times New Roman" w:eastAsia="Times New Roman" w:hAnsi="Times New Roman"/>
          <w:sz w:val="24"/>
          <w:szCs w:val="24"/>
          <w:lang w:eastAsia="pt-BR"/>
        </w:rPr>
        <w:t xml:space="preserve"> em 1</w:t>
      </w:r>
      <w:r>
        <w:rPr>
          <w:rFonts w:ascii="Times New Roman" w:eastAsia="Times New Roman" w:hAnsi="Times New Roman"/>
          <w:sz w:val="24"/>
          <w:szCs w:val="24"/>
          <w:lang w:eastAsia="pt-BR"/>
        </w:rPr>
        <w:t xml:space="preserve"> </w:t>
      </w:r>
      <w:r w:rsidRPr="00515256">
        <w:rPr>
          <w:rFonts w:ascii="Times New Roman" w:eastAsia="Times New Roman" w:hAnsi="Times New Roman"/>
          <w:sz w:val="24"/>
          <w:szCs w:val="24"/>
          <w:lang w:eastAsia="pt-BR"/>
        </w:rPr>
        <w:t>mL do meio de reação (tampão fosfato 50mM, EDTA 1</w:t>
      </w:r>
      <w:r>
        <w:rPr>
          <w:rFonts w:ascii="Times New Roman" w:eastAsia="Times New Roman" w:hAnsi="Times New Roman"/>
          <w:sz w:val="24"/>
          <w:szCs w:val="24"/>
          <w:lang w:eastAsia="pt-BR"/>
        </w:rPr>
        <w:t>00nM e L-metionina 13mM pH 7,8)</w:t>
      </w:r>
      <w:r w:rsidRPr="00515256">
        <w:rPr>
          <w:rFonts w:ascii="Times New Roman" w:eastAsia="Times New Roman" w:hAnsi="Times New Roman"/>
          <w:sz w:val="24"/>
          <w:szCs w:val="24"/>
          <w:lang w:eastAsia="pt-BR"/>
        </w:rPr>
        <w:t>, 150 uL do NBT 75 uL e 300 uL riboflavina 2 uL</w:t>
      </w:r>
      <w:r>
        <w:rPr>
          <w:rFonts w:ascii="Times New Roman" w:eastAsia="Times New Roman" w:hAnsi="Times New Roman"/>
          <w:sz w:val="24"/>
          <w:szCs w:val="24"/>
          <w:lang w:eastAsia="pt-BR"/>
        </w:rPr>
        <w:t xml:space="preserve"> </w:t>
      </w:r>
      <w:r w:rsidRPr="00515256">
        <w:rPr>
          <w:rFonts w:ascii="Times New Roman" w:eastAsia="Times New Roman" w:hAnsi="Times New Roman"/>
          <w:sz w:val="24"/>
          <w:szCs w:val="24"/>
          <w:lang w:eastAsia="pt-BR"/>
        </w:rPr>
        <w:t>numa câmara escura. Os tubos contendo a solução obtida serão expostos a lâmpadas fluorescentes (15</w:t>
      </w:r>
      <w:r>
        <w:rPr>
          <w:rFonts w:ascii="Times New Roman" w:eastAsia="Times New Roman" w:hAnsi="Times New Roman"/>
          <w:sz w:val="24"/>
          <w:szCs w:val="24"/>
          <w:lang w:eastAsia="pt-BR"/>
        </w:rPr>
        <w:t xml:space="preserve"> </w:t>
      </w:r>
      <w:r w:rsidRPr="00515256">
        <w:rPr>
          <w:rFonts w:ascii="Times New Roman" w:eastAsia="Times New Roman" w:hAnsi="Times New Roman"/>
          <w:sz w:val="24"/>
          <w:szCs w:val="24"/>
          <w:lang w:eastAsia="pt-BR"/>
        </w:rPr>
        <w:t>W) por 15</w:t>
      </w:r>
      <w:r>
        <w:rPr>
          <w:rFonts w:ascii="Times New Roman" w:eastAsia="Times New Roman" w:hAnsi="Times New Roman"/>
          <w:sz w:val="24"/>
          <w:szCs w:val="24"/>
          <w:lang w:eastAsia="pt-BR"/>
        </w:rPr>
        <w:t xml:space="preserve"> </w:t>
      </w:r>
      <w:r w:rsidRPr="00515256">
        <w:rPr>
          <w:rFonts w:ascii="Times New Roman" w:eastAsia="Times New Roman" w:hAnsi="Times New Roman"/>
          <w:sz w:val="24"/>
          <w:szCs w:val="24"/>
          <w:lang w:eastAsia="pt-BR"/>
        </w:rPr>
        <w:t>minutos. Ao término do tempo o material será lido em espectofotômetro 560nm.</w:t>
      </w:r>
      <w:r>
        <w:rPr>
          <w:rFonts w:ascii="Times New Roman" w:eastAsia="Times New Roman" w:hAnsi="Times New Roman"/>
          <w:sz w:val="24"/>
          <w:szCs w:val="24"/>
          <w:lang w:eastAsia="pt-BR"/>
        </w:rPr>
        <w:t xml:space="preserve"> </w:t>
      </w:r>
      <w:r w:rsidRPr="00515256">
        <w:rPr>
          <w:rFonts w:ascii="Times New Roman" w:eastAsia="Times New Roman" w:hAnsi="Times New Roman"/>
          <w:sz w:val="24"/>
          <w:szCs w:val="24"/>
          <w:lang w:eastAsia="pt-BR"/>
        </w:rPr>
        <w:t>Os resultados serão expressos em unidades da enzima, que é a quantidade de SOD necessária para inibir a taxa de redução do NBT em 50</w:t>
      </w:r>
      <w:r>
        <w:rPr>
          <w:rFonts w:ascii="Times New Roman" w:eastAsia="Times New Roman" w:hAnsi="Times New Roman"/>
          <w:sz w:val="24"/>
          <w:szCs w:val="24"/>
          <w:lang w:eastAsia="pt-BR"/>
        </w:rPr>
        <w:t xml:space="preserve"> </w:t>
      </w:r>
      <w:r w:rsidRPr="00515256">
        <w:rPr>
          <w:rFonts w:ascii="Times New Roman" w:eastAsia="Times New Roman" w:hAnsi="Times New Roman"/>
          <w:sz w:val="24"/>
          <w:szCs w:val="24"/>
          <w:lang w:eastAsia="pt-BR"/>
        </w:rPr>
        <w:t>%.</w:t>
      </w:r>
    </w:p>
    <w:p w:rsidR="006F5677" w:rsidRPr="00D017A5" w:rsidRDefault="006F5677" w:rsidP="006F5677">
      <w:pPr>
        <w:pStyle w:val="ListParagraph"/>
        <w:autoSpaceDE w:val="0"/>
        <w:autoSpaceDN w:val="0"/>
        <w:adjustRightInd w:val="0"/>
        <w:spacing w:line="360" w:lineRule="auto"/>
        <w:ind w:left="0"/>
        <w:jc w:val="both"/>
        <w:rPr>
          <w:rFonts w:ascii="Times New Roman" w:eastAsia="Times New Roman" w:hAnsi="Times New Roman"/>
          <w:b/>
          <w:sz w:val="24"/>
          <w:szCs w:val="24"/>
          <w:lang w:eastAsia="pt-BR"/>
        </w:rPr>
      </w:pPr>
      <w:r>
        <w:rPr>
          <w:rFonts w:ascii="Times New Roman" w:eastAsia="Times New Roman" w:hAnsi="Times New Roman"/>
          <w:b/>
          <w:sz w:val="24"/>
          <w:szCs w:val="24"/>
          <w:lang w:eastAsia="pt-BR"/>
        </w:rPr>
        <w:t>3.5.2</w:t>
      </w:r>
      <w:r w:rsidRPr="00D017A5">
        <w:rPr>
          <w:rFonts w:ascii="Times New Roman" w:eastAsia="Times New Roman" w:hAnsi="Times New Roman"/>
          <w:b/>
          <w:sz w:val="24"/>
          <w:szCs w:val="24"/>
          <w:lang w:eastAsia="pt-BR"/>
        </w:rPr>
        <w:tab/>
        <w:t>Determinação da concentração de glutationa reduzida (GSH)</w:t>
      </w:r>
    </w:p>
    <w:p w:rsidR="006F5677" w:rsidRDefault="006F5677" w:rsidP="006F5677">
      <w:pPr>
        <w:autoSpaceDE w:val="0"/>
        <w:autoSpaceDN w:val="0"/>
        <w:adjustRightInd w:val="0"/>
        <w:spacing w:line="360" w:lineRule="auto"/>
        <w:ind w:firstLine="708"/>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 xml:space="preserve">Os homogenatos das áreas cerebrais serão adicionados a ácido tricloroacético a 50%, </w:t>
      </w:r>
      <w:r w:rsidRPr="00515256">
        <w:rPr>
          <w:rFonts w:ascii="Times New Roman" w:eastAsia="Times New Roman" w:hAnsi="Times New Roman"/>
          <w:sz w:val="24"/>
          <w:szCs w:val="24"/>
          <w:lang w:eastAsia="pt-BR"/>
        </w:rPr>
        <w:t>agitado</w:t>
      </w:r>
      <w:r>
        <w:rPr>
          <w:rFonts w:ascii="Times New Roman" w:eastAsia="Times New Roman" w:hAnsi="Times New Roman"/>
          <w:sz w:val="24"/>
          <w:szCs w:val="24"/>
          <w:lang w:eastAsia="pt-BR"/>
        </w:rPr>
        <w:t>s</w:t>
      </w:r>
      <w:r w:rsidRPr="00515256">
        <w:rPr>
          <w:rFonts w:ascii="Times New Roman" w:eastAsia="Times New Roman" w:hAnsi="Times New Roman"/>
          <w:sz w:val="24"/>
          <w:szCs w:val="24"/>
          <w:lang w:eastAsia="pt-BR"/>
        </w:rPr>
        <w:t xml:space="preserve"> e centrifugado</w:t>
      </w:r>
      <w:r>
        <w:rPr>
          <w:rFonts w:ascii="Times New Roman" w:eastAsia="Times New Roman" w:hAnsi="Times New Roman"/>
          <w:sz w:val="24"/>
          <w:szCs w:val="24"/>
          <w:lang w:eastAsia="pt-BR"/>
        </w:rPr>
        <w:t>s</w:t>
      </w:r>
      <w:r w:rsidRPr="00515256">
        <w:rPr>
          <w:rFonts w:ascii="Times New Roman" w:eastAsia="Times New Roman" w:hAnsi="Times New Roman"/>
          <w:sz w:val="24"/>
          <w:szCs w:val="24"/>
          <w:lang w:eastAsia="pt-BR"/>
        </w:rPr>
        <w:t xml:space="preserve"> a</w:t>
      </w:r>
      <w:r>
        <w:rPr>
          <w:rFonts w:ascii="Times New Roman" w:eastAsia="Times New Roman" w:hAnsi="Times New Roman"/>
          <w:sz w:val="24"/>
          <w:szCs w:val="24"/>
          <w:lang w:eastAsia="pt-BR"/>
        </w:rPr>
        <w:t xml:space="preserve"> </w:t>
      </w:r>
      <w:r w:rsidRPr="00515256">
        <w:rPr>
          <w:rFonts w:ascii="Times New Roman" w:eastAsia="Times New Roman" w:hAnsi="Times New Roman"/>
          <w:sz w:val="24"/>
          <w:szCs w:val="24"/>
          <w:lang w:eastAsia="pt-BR"/>
        </w:rPr>
        <w:t xml:space="preserve">3000 rpm por 15 minutos. Em seguida </w:t>
      </w:r>
      <w:r>
        <w:rPr>
          <w:rFonts w:ascii="Times New Roman" w:eastAsia="Times New Roman" w:hAnsi="Times New Roman"/>
          <w:sz w:val="24"/>
          <w:szCs w:val="24"/>
          <w:lang w:eastAsia="pt-BR"/>
        </w:rPr>
        <w:t>o</w:t>
      </w:r>
      <w:r w:rsidRPr="00515256">
        <w:rPr>
          <w:rFonts w:ascii="Times New Roman" w:eastAsia="Times New Roman" w:hAnsi="Times New Roman"/>
          <w:sz w:val="24"/>
          <w:szCs w:val="24"/>
          <w:lang w:eastAsia="pt-BR"/>
        </w:rPr>
        <w:t xml:space="preserve"> sobrenadante</w:t>
      </w:r>
      <w:r>
        <w:rPr>
          <w:rFonts w:ascii="Times New Roman" w:eastAsia="Times New Roman" w:hAnsi="Times New Roman"/>
          <w:sz w:val="24"/>
          <w:szCs w:val="24"/>
          <w:lang w:eastAsia="pt-BR"/>
        </w:rPr>
        <w:t xml:space="preserve"> será recolhido e acrescido </w:t>
      </w:r>
      <w:r w:rsidRPr="00515256">
        <w:rPr>
          <w:rFonts w:ascii="Times New Roman" w:eastAsia="Times New Roman" w:hAnsi="Times New Roman"/>
          <w:sz w:val="24"/>
          <w:szCs w:val="24"/>
          <w:lang w:eastAsia="pt-BR"/>
        </w:rPr>
        <w:t>de tampão Tris-HCl 0,4M, pH 8,</w:t>
      </w:r>
      <w:r>
        <w:rPr>
          <w:rFonts w:ascii="Times New Roman" w:eastAsia="Times New Roman" w:hAnsi="Times New Roman"/>
          <w:sz w:val="24"/>
          <w:szCs w:val="24"/>
          <w:lang w:eastAsia="pt-BR"/>
        </w:rPr>
        <w:t>9 e DTNB 0,01M. A</w:t>
      </w:r>
      <w:r w:rsidRPr="00515256">
        <w:rPr>
          <w:rFonts w:ascii="Times New Roman" w:eastAsia="Times New Roman" w:hAnsi="Times New Roman"/>
          <w:sz w:val="24"/>
          <w:szCs w:val="24"/>
          <w:lang w:eastAsia="pt-BR"/>
        </w:rPr>
        <w:t>pós 1 minuto da reação</w:t>
      </w:r>
      <w:r>
        <w:rPr>
          <w:rFonts w:ascii="Times New Roman" w:eastAsia="Times New Roman" w:hAnsi="Times New Roman"/>
          <w:sz w:val="24"/>
          <w:szCs w:val="24"/>
          <w:lang w:eastAsia="pt-BR"/>
        </w:rPr>
        <w:t>,</w:t>
      </w:r>
      <w:r w:rsidRPr="00515256">
        <w:rPr>
          <w:rFonts w:ascii="Times New Roman" w:eastAsia="Times New Roman" w:hAnsi="Times New Roman"/>
          <w:sz w:val="24"/>
          <w:szCs w:val="24"/>
          <w:lang w:eastAsia="pt-BR"/>
        </w:rPr>
        <w:t xml:space="preserve"> a leitura </w:t>
      </w:r>
      <w:r>
        <w:rPr>
          <w:rFonts w:ascii="Times New Roman" w:eastAsia="Times New Roman" w:hAnsi="Times New Roman"/>
          <w:sz w:val="24"/>
          <w:szCs w:val="24"/>
          <w:lang w:eastAsia="pt-BR"/>
        </w:rPr>
        <w:t>será feita em leitor de placas em</w:t>
      </w:r>
      <w:r w:rsidRPr="00515256">
        <w:rPr>
          <w:rFonts w:ascii="Times New Roman" w:eastAsia="Times New Roman" w:hAnsi="Times New Roman"/>
          <w:sz w:val="24"/>
          <w:szCs w:val="24"/>
          <w:lang w:eastAsia="pt-BR"/>
        </w:rPr>
        <w:t xml:space="preserve"> 412nm. A concentração de glutationa reduzida será expressa em </w:t>
      </w:r>
      <w:r>
        <w:rPr>
          <w:rFonts w:ascii="Times New Roman" w:eastAsia="Times New Roman" w:hAnsi="Times New Roman"/>
          <w:sz w:val="24"/>
          <w:szCs w:val="24"/>
          <w:lang w:eastAsia="pt-BR"/>
        </w:rPr>
        <w:t>ng</w:t>
      </w:r>
      <w:r w:rsidRPr="00515256">
        <w:rPr>
          <w:rFonts w:ascii="Times New Roman" w:eastAsia="Times New Roman" w:hAnsi="Times New Roman"/>
          <w:sz w:val="24"/>
          <w:szCs w:val="24"/>
          <w:lang w:eastAsia="pt-BR"/>
        </w:rPr>
        <w:t xml:space="preserve"> de GSH/g de tecido, tendo por base uma curva padrão.</w:t>
      </w:r>
    </w:p>
    <w:p w:rsidR="006F5677" w:rsidRPr="00D017A5" w:rsidRDefault="006F5677" w:rsidP="006F5677">
      <w:pPr>
        <w:autoSpaceDE w:val="0"/>
        <w:autoSpaceDN w:val="0"/>
        <w:adjustRightInd w:val="0"/>
        <w:jc w:val="both"/>
        <w:rPr>
          <w:rFonts w:ascii="Times New Roman" w:eastAsia="Times New Roman" w:hAnsi="Times New Roman"/>
          <w:b/>
          <w:sz w:val="24"/>
          <w:szCs w:val="24"/>
          <w:lang w:eastAsia="pt-BR"/>
        </w:rPr>
      </w:pPr>
      <w:r w:rsidRPr="00D017A5">
        <w:rPr>
          <w:rFonts w:ascii="Times New Roman" w:eastAsia="Times New Roman" w:hAnsi="Times New Roman"/>
          <w:b/>
          <w:sz w:val="24"/>
          <w:szCs w:val="24"/>
          <w:lang w:eastAsia="pt-BR"/>
        </w:rPr>
        <w:t>3</w:t>
      </w:r>
      <w:r>
        <w:rPr>
          <w:rFonts w:ascii="Times New Roman" w:eastAsia="Times New Roman" w:hAnsi="Times New Roman"/>
          <w:b/>
          <w:sz w:val="24"/>
          <w:szCs w:val="24"/>
          <w:lang w:eastAsia="pt-BR"/>
        </w:rPr>
        <w:t>.5</w:t>
      </w:r>
      <w:r w:rsidRPr="00D017A5">
        <w:rPr>
          <w:rFonts w:ascii="Times New Roman" w:eastAsia="Times New Roman" w:hAnsi="Times New Roman"/>
          <w:b/>
          <w:sz w:val="24"/>
          <w:szCs w:val="24"/>
          <w:lang w:eastAsia="pt-BR"/>
        </w:rPr>
        <w:t>.</w:t>
      </w:r>
      <w:r>
        <w:rPr>
          <w:rFonts w:ascii="Times New Roman" w:eastAsia="Times New Roman" w:hAnsi="Times New Roman"/>
          <w:b/>
          <w:sz w:val="24"/>
          <w:szCs w:val="24"/>
          <w:lang w:eastAsia="pt-BR"/>
        </w:rPr>
        <w:t>3</w:t>
      </w:r>
      <w:r w:rsidRPr="00D017A5">
        <w:rPr>
          <w:rFonts w:ascii="Times New Roman" w:eastAsia="Times New Roman" w:hAnsi="Times New Roman"/>
          <w:b/>
          <w:sz w:val="24"/>
          <w:szCs w:val="24"/>
          <w:lang w:eastAsia="pt-BR"/>
        </w:rPr>
        <w:t xml:space="preserve"> </w:t>
      </w:r>
      <w:r w:rsidRPr="00D017A5">
        <w:rPr>
          <w:rFonts w:ascii="Times New Roman" w:eastAsia="Times New Roman" w:hAnsi="Times New Roman"/>
          <w:b/>
          <w:sz w:val="24"/>
          <w:szCs w:val="24"/>
          <w:lang w:eastAsia="pt-BR"/>
        </w:rPr>
        <w:tab/>
        <w:t xml:space="preserve">Avaliação da peroxidação lipídica (dosagem de malonildialdeído) </w:t>
      </w:r>
    </w:p>
    <w:p w:rsidR="006F5677" w:rsidRDefault="006F5677" w:rsidP="006F5677">
      <w:pPr>
        <w:pStyle w:val="Corpodetexto22"/>
        <w:tabs>
          <w:tab w:val="left" w:pos="709"/>
        </w:tabs>
        <w:spacing w:before="240" w:after="0" w:line="360" w:lineRule="auto"/>
        <w:jc w:val="both"/>
        <w:rPr>
          <w:bCs/>
        </w:rPr>
      </w:pPr>
      <w:r>
        <w:rPr>
          <w:bCs/>
        </w:rPr>
        <w:tab/>
      </w:r>
      <w:r w:rsidRPr="00050F71">
        <w:rPr>
          <w:bCs/>
        </w:rPr>
        <w:t>Serão preparados homogenatos das áreas cerebrais a 10% em solução de cloreto de potássio (KCl) 1,15 %. 0,25 mL do homogeneizado será misturado a 1 mL de solução de ácido tricloroacético a 10% e acrescido de 1 mL de solução de ácido tiobarbitúrico 0,6%. Após a agitação, essa mistura foi mantida em um banho de água fervente (95-100°C</w:t>
      </w:r>
      <w:r>
        <w:rPr>
          <w:bCs/>
        </w:rPr>
        <w:t>) por 15 minutos</w:t>
      </w:r>
      <w:r w:rsidRPr="00050F71">
        <w:rPr>
          <w:bCs/>
        </w:rPr>
        <w:t xml:space="preserve">, adicionado o n-butanol (2:1 v/v), a seguir resfriada em banho de gelo por alguns minutos e posteriormente centrifugada (800xg, </w:t>
      </w:r>
      <w:r>
        <w:rPr>
          <w:bCs/>
        </w:rPr>
        <w:t xml:space="preserve">5 min). O conteúdo de TBARS será </w:t>
      </w:r>
      <w:r w:rsidRPr="00050F71">
        <w:rPr>
          <w:bCs/>
        </w:rPr>
        <w:t>determinado em espectrofotômetro a 535 nm. Os resultados serão expressos em micromol de malonildialdeído (MDA)</w:t>
      </w:r>
      <w:r>
        <w:rPr>
          <w:bCs/>
        </w:rPr>
        <w:t>/g de tecido</w:t>
      </w:r>
      <w:r w:rsidRPr="00050F71">
        <w:rPr>
          <w:bCs/>
        </w:rPr>
        <w:t>.</w:t>
      </w:r>
    </w:p>
    <w:p w:rsidR="006F5677" w:rsidRPr="00D017A5" w:rsidRDefault="006F5677" w:rsidP="006F5677">
      <w:pPr>
        <w:pStyle w:val="Corpodetexto22"/>
        <w:tabs>
          <w:tab w:val="left" w:pos="709"/>
        </w:tabs>
        <w:spacing w:before="240" w:after="0" w:line="360" w:lineRule="auto"/>
        <w:jc w:val="both"/>
        <w:rPr>
          <w:b/>
          <w:bCs/>
        </w:rPr>
      </w:pPr>
    </w:p>
    <w:p w:rsidR="006F5677" w:rsidRPr="00D017A5" w:rsidRDefault="006F5677" w:rsidP="006F5677">
      <w:pPr>
        <w:autoSpaceDE w:val="0"/>
        <w:autoSpaceDN w:val="0"/>
        <w:adjustRightInd w:val="0"/>
        <w:spacing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3.5.4</w:t>
      </w:r>
      <w:r w:rsidRPr="00D017A5">
        <w:rPr>
          <w:rFonts w:ascii="Times New Roman" w:eastAsia="Times New Roman" w:hAnsi="Times New Roman" w:cs="Times New Roman"/>
          <w:b/>
          <w:sz w:val="24"/>
          <w:szCs w:val="24"/>
          <w:lang w:eastAsia="pt-BR"/>
        </w:rPr>
        <w:t xml:space="preserve"> Determinação dos níveis de nitrito</w:t>
      </w:r>
    </w:p>
    <w:p w:rsidR="006F5677" w:rsidRDefault="006F5677" w:rsidP="006F5677">
      <w:pPr>
        <w:pStyle w:val="BodyTextIndent"/>
        <w:spacing w:before="48" w:after="288" w:line="360" w:lineRule="auto"/>
        <w:ind w:left="0" w:firstLine="708"/>
        <w:jc w:val="both"/>
        <w:rPr>
          <w:rFonts w:ascii="Times New Roman" w:hAnsi="Times New Roman" w:cs="Times New Roman"/>
          <w:sz w:val="24"/>
          <w:szCs w:val="24"/>
        </w:rPr>
      </w:pPr>
      <w:r w:rsidRPr="0079089C">
        <w:rPr>
          <w:rFonts w:ascii="Times New Roman" w:hAnsi="Times New Roman" w:cs="Times New Roman"/>
          <w:sz w:val="24"/>
          <w:szCs w:val="24"/>
        </w:rPr>
        <w:t xml:space="preserve">A concentração de nitrito será determinada segundo o método de GREEN e colaboradores (1981), que se baseia em revelar a presença de nitrito em uma amostra (sobrenadante celular, urina, plasma ou homogenato tecidual) por uma reação de diazotação que forma um cromóforo de cor rósea, com pico de absorbância de 560 nm. Para esta experiência 100 </w:t>
      </w:r>
      <w:r w:rsidRPr="0079089C">
        <w:rPr>
          <w:rFonts w:ascii="Times New Roman" w:hAnsi="Times New Roman" w:cs="Times New Roman"/>
          <w:sz w:val="24"/>
          <w:szCs w:val="24"/>
        </w:rPr>
        <w:t>L do reativo de Griess (sulfanilamida a 1%/ cloridrato de N-(1-naftil)-etilenediamina 0.1% / H</w:t>
      </w:r>
      <w:r w:rsidRPr="0079089C">
        <w:rPr>
          <w:rFonts w:ascii="Times New Roman" w:hAnsi="Times New Roman" w:cs="Times New Roman"/>
          <w:sz w:val="24"/>
          <w:szCs w:val="24"/>
          <w:vertAlign w:val="subscript"/>
        </w:rPr>
        <w:t>3</w:t>
      </w:r>
      <w:r w:rsidRPr="0079089C">
        <w:rPr>
          <w:rFonts w:ascii="Times New Roman" w:hAnsi="Times New Roman" w:cs="Times New Roman"/>
          <w:sz w:val="24"/>
          <w:szCs w:val="24"/>
        </w:rPr>
        <w:t>PO</w:t>
      </w:r>
      <w:r w:rsidRPr="0079089C">
        <w:rPr>
          <w:rFonts w:ascii="Times New Roman" w:hAnsi="Times New Roman" w:cs="Times New Roman"/>
          <w:sz w:val="24"/>
          <w:szCs w:val="24"/>
          <w:vertAlign w:val="subscript"/>
        </w:rPr>
        <w:t>4</w:t>
      </w:r>
      <w:r w:rsidRPr="0079089C">
        <w:rPr>
          <w:rFonts w:ascii="Times New Roman" w:hAnsi="Times New Roman" w:cs="Times New Roman"/>
          <w:sz w:val="24"/>
          <w:szCs w:val="24"/>
        </w:rPr>
        <w:t xml:space="preserve"> em 1% / água destilada, na proporção de 1:1:1:1) será adicionado a  100 </w:t>
      </w:r>
      <w:r w:rsidRPr="0079089C">
        <w:rPr>
          <w:rFonts w:ascii="Times New Roman" w:hAnsi="Times New Roman" w:cs="Times New Roman"/>
          <w:sz w:val="24"/>
          <w:szCs w:val="24"/>
        </w:rPr>
        <w:t>L do sobrenadante da cultura de célula e incubado a temperatura ambiente por 10 min. A curva padrão será elaborada com várias concentrações de NaNO</w:t>
      </w:r>
      <w:r w:rsidRPr="0079089C">
        <w:rPr>
          <w:rFonts w:ascii="Times New Roman" w:hAnsi="Times New Roman" w:cs="Times New Roman"/>
          <w:sz w:val="24"/>
          <w:szCs w:val="24"/>
          <w:vertAlign w:val="subscript"/>
        </w:rPr>
        <w:t>2</w:t>
      </w:r>
      <w:r w:rsidRPr="0079089C">
        <w:rPr>
          <w:rFonts w:ascii="Times New Roman" w:hAnsi="Times New Roman" w:cs="Times New Roman"/>
          <w:sz w:val="24"/>
          <w:szCs w:val="24"/>
        </w:rPr>
        <w:t xml:space="preserve"> (variando de 0,75 à 100 </w:t>
      </w:r>
      <w:r w:rsidRPr="0079089C">
        <w:rPr>
          <w:rFonts w:ascii="Times New Roman" w:hAnsi="Times New Roman" w:cs="Times New Roman"/>
          <w:sz w:val="24"/>
          <w:szCs w:val="24"/>
        </w:rPr>
        <w:t xml:space="preserve">M) sob as mesmas condições. Os brancos serão preparados pela adição de 100 </w:t>
      </w:r>
      <w:r w:rsidRPr="0079089C">
        <w:rPr>
          <w:rFonts w:ascii="Times New Roman" w:hAnsi="Times New Roman" w:cs="Times New Roman"/>
          <w:sz w:val="24"/>
          <w:szCs w:val="24"/>
        </w:rPr>
        <w:t xml:space="preserve">L do reativo de Griess a 100 </w:t>
      </w:r>
      <w:r w:rsidRPr="0079089C">
        <w:rPr>
          <w:rFonts w:ascii="Times New Roman" w:hAnsi="Times New Roman" w:cs="Times New Roman"/>
          <w:sz w:val="24"/>
          <w:szCs w:val="24"/>
        </w:rPr>
        <w:t>L do meio de cultura e a absorbância será medida em leitor de microplacas em 560 nm.</w:t>
      </w:r>
    </w:p>
    <w:p w:rsidR="006F5677" w:rsidRPr="0024219A" w:rsidRDefault="006F5677" w:rsidP="006F5677">
      <w:pPr>
        <w:rPr>
          <w:rFonts w:ascii="Times New Roman" w:hAnsi="Times New Roman"/>
          <w:b/>
          <w:sz w:val="24"/>
          <w:szCs w:val="24"/>
        </w:rPr>
      </w:pPr>
      <w:r>
        <w:rPr>
          <w:rFonts w:ascii="Times New Roman" w:hAnsi="Times New Roman"/>
          <w:b/>
          <w:sz w:val="24"/>
          <w:szCs w:val="24"/>
        </w:rPr>
        <w:t xml:space="preserve">3.5.5 </w:t>
      </w:r>
      <w:r w:rsidRPr="0024219A">
        <w:rPr>
          <w:rFonts w:ascii="Times New Roman" w:hAnsi="Times New Roman"/>
          <w:b/>
          <w:sz w:val="24"/>
          <w:szCs w:val="24"/>
        </w:rPr>
        <w:t>Liberação da enzima Mieloperoxidase (MPO) em neutrófilos humanos</w:t>
      </w:r>
    </w:p>
    <w:p w:rsidR="006F5677" w:rsidRDefault="006F5677" w:rsidP="006F5677">
      <w:pPr>
        <w:spacing w:line="360" w:lineRule="auto"/>
        <w:ind w:firstLine="709"/>
        <w:jc w:val="both"/>
        <w:rPr>
          <w:rFonts w:ascii="Times New Roman" w:hAnsi="Times New Roman" w:cs="Times New Roman"/>
          <w:sz w:val="24"/>
          <w:szCs w:val="24"/>
        </w:rPr>
      </w:pPr>
      <w:r w:rsidRPr="00FE6312">
        <w:rPr>
          <w:rFonts w:ascii="Times New Roman" w:hAnsi="Times New Roman"/>
          <w:sz w:val="24"/>
          <w:szCs w:val="24"/>
        </w:rPr>
        <w:t>A mieloperoxidase (MPO) é uma enzima contida nos grânulos primários dos neutrófilos. Mais de 95% da MPO está presente nos grânulos dos neutrófilos, existindo os restantes 5% nos monócitos circulantes. Esta enzima catalisa a oxidação de substâncias na presença de peróxido de hidrogênio (H</w:t>
      </w:r>
      <w:r w:rsidRPr="00AB002B">
        <w:rPr>
          <w:rFonts w:ascii="Times New Roman" w:hAnsi="Times New Roman"/>
          <w:sz w:val="24"/>
          <w:szCs w:val="24"/>
          <w:vertAlign w:val="subscript"/>
        </w:rPr>
        <w:t>2</w:t>
      </w:r>
      <w:r w:rsidRPr="00FE6312">
        <w:rPr>
          <w:rFonts w:ascii="Times New Roman" w:hAnsi="Times New Roman"/>
          <w:sz w:val="24"/>
          <w:szCs w:val="24"/>
        </w:rPr>
        <w:t>O</w:t>
      </w:r>
      <w:r w:rsidRPr="00AB002B">
        <w:rPr>
          <w:rFonts w:ascii="Times New Roman" w:hAnsi="Times New Roman"/>
          <w:sz w:val="24"/>
          <w:szCs w:val="24"/>
          <w:vertAlign w:val="subscript"/>
        </w:rPr>
        <w:t>2</w:t>
      </w:r>
      <w:r w:rsidRPr="00FE6312">
        <w:rPr>
          <w:rFonts w:ascii="Times New Roman" w:hAnsi="Times New Roman"/>
          <w:sz w:val="24"/>
          <w:szCs w:val="24"/>
        </w:rPr>
        <w:t>) e de um halogênio, constituindo a ligação peróxido de hidrogênio-halogênio-MPO um sistema altamente tóxico para os microorganismos.  Segundo Lucisano e Mantovani (1984), 2.5 x 10</w:t>
      </w:r>
      <w:r w:rsidRPr="00AB002B">
        <w:rPr>
          <w:rFonts w:ascii="Times New Roman" w:hAnsi="Times New Roman"/>
          <w:sz w:val="24"/>
          <w:szCs w:val="24"/>
          <w:vertAlign w:val="superscript"/>
        </w:rPr>
        <w:t>6</w:t>
      </w:r>
      <w:r w:rsidRPr="00FE6312">
        <w:rPr>
          <w:rFonts w:ascii="Times New Roman" w:hAnsi="Times New Roman"/>
          <w:sz w:val="24"/>
          <w:szCs w:val="24"/>
        </w:rPr>
        <w:t xml:space="preserve"> de leucócitos humanos, obtidos segundo descrição no item anterior, </w:t>
      </w:r>
      <w:commentRangeStart w:id="3"/>
      <w:r w:rsidRPr="00FE6312">
        <w:rPr>
          <w:rFonts w:ascii="Times New Roman" w:hAnsi="Times New Roman"/>
          <w:sz w:val="24"/>
          <w:szCs w:val="24"/>
        </w:rPr>
        <w:t xml:space="preserve">foram </w:t>
      </w:r>
      <w:commentRangeEnd w:id="3"/>
      <w:r>
        <w:rPr>
          <w:rStyle w:val="CommentReference"/>
          <w:rFonts w:ascii="Calibri" w:eastAsia="Calibri" w:hAnsi="Calibri" w:cs="Times New Roman"/>
          <w:lang w:val="x-none" w:eastAsia="x-none"/>
        </w:rPr>
        <w:commentReference w:id="3"/>
      </w:r>
      <w:r w:rsidRPr="00FE6312">
        <w:rPr>
          <w:rFonts w:ascii="Times New Roman" w:hAnsi="Times New Roman"/>
          <w:sz w:val="24"/>
          <w:szCs w:val="24"/>
        </w:rPr>
        <w:t xml:space="preserve">suspensos e tamponados com solução balanceada de Hanks, contendo cálcio e magnésio. </w:t>
      </w:r>
      <w:commentRangeStart w:id="4"/>
      <w:r w:rsidRPr="00FE6312">
        <w:rPr>
          <w:rFonts w:ascii="Times New Roman" w:hAnsi="Times New Roman"/>
          <w:sz w:val="24"/>
          <w:szCs w:val="24"/>
        </w:rPr>
        <w:t xml:space="preserve">As preparações continham predominantemente neutrófilos (85.0 ± 2.8%) </w:t>
      </w:r>
      <w:commentRangeEnd w:id="4"/>
      <w:r>
        <w:rPr>
          <w:rStyle w:val="CommentReference"/>
          <w:rFonts w:ascii="Calibri" w:eastAsia="Calibri" w:hAnsi="Calibri" w:cs="Times New Roman"/>
          <w:lang w:val="x-none" w:eastAsia="x-none"/>
        </w:rPr>
        <w:commentReference w:id="4"/>
      </w:r>
      <w:r w:rsidRPr="00FE6312">
        <w:rPr>
          <w:rFonts w:ascii="Times New Roman" w:hAnsi="Times New Roman"/>
          <w:sz w:val="24"/>
          <w:szCs w:val="24"/>
        </w:rPr>
        <w:t xml:space="preserve">e a viabilidade das células foi determinada pelo Teste de Trypan azul, </w:t>
      </w:r>
      <w:commentRangeStart w:id="5"/>
      <w:r w:rsidRPr="00FE6312">
        <w:rPr>
          <w:rFonts w:ascii="Times New Roman" w:hAnsi="Times New Roman"/>
          <w:sz w:val="24"/>
          <w:szCs w:val="24"/>
        </w:rPr>
        <w:t xml:space="preserve">97.7 ± 0.94%. </w:t>
      </w:r>
      <w:commentRangeEnd w:id="5"/>
      <w:r>
        <w:rPr>
          <w:rStyle w:val="CommentReference"/>
          <w:rFonts w:ascii="Calibri" w:eastAsia="Calibri" w:hAnsi="Calibri" w:cs="Times New Roman"/>
          <w:lang w:val="x-none" w:eastAsia="x-none"/>
        </w:rPr>
        <w:commentReference w:id="5"/>
      </w:r>
      <w:commentRangeStart w:id="6"/>
      <w:r w:rsidRPr="00FE6312">
        <w:rPr>
          <w:rFonts w:ascii="Times New Roman" w:hAnsi="Times New Roman"/>
          <w:sz w:val="24"/>
          <w:szCs w:val="24"/>
        </w:rPr>
        <w:t xml:space="preserve">As células foram incubadas com os óleos essenciais (0.01, 0.1 e 1 µg/ml) por 15 minutos numa temperatura de 37ºC. </w:t>
      </w:r>
      <w:commentRangeEnd w:id="6"/>
      <w:r>
        <w:rPr>
          <w:rStyle w:val="CommentReference"/>
          <w:rFonts w:ascii="Calibri" w:eastAsia="Calibri" w:hAnsi="Calibri" w:cs="Times New Roman"/>
          <w:lang w:val="x-none" w:eastAsia="x-none"/>
        </w:rPr>
        <w:commentReference w:id="6"/>
      </w:r>
      <w:commentRangeStart w:id="7"/>
      <w:r w:rsidRPr="00FE6312">
        <w:rPr>
          <w:rFonts w:ascii="Times New Roman" w:hAnsi="Times New Roman"/>
          <w:sz w:val="24"/>
          <w:szCs w:val="24"/>
        </w:rPr>
        <w:t xml:space="preserve">Os neutrófilos humanos foram estimulados pela adição de acetato de miristato de forbol (PMA, 0.1 µg/mL) por 15 minutos numa temperatura de 37ºC. A suspensão foi centrifugada por 10 min, 2.000 g em 4ºC. Alíquotas (50 µL) do sobrenadante foram adicionadas a salina tampão-fosfato (100 µL), tampão-fosfato (50 µL, pH 7.0) e H2O2 (0.012%). Após 5 minutos numa temperatura de 37ºC, tetrametil benzidina (1.5 mM, 20 µL) foi adicionado e a reação foi interrompida pela adição de 30 µL de acetato de sódio (1.5 M, pH 3.0). A absorbância foi determinada em 620 nm. </w:t>
      </w:r>
      <w:commentRangeEnd w:id="7"/>
      <w:r>
        <w:rPr>
          <w:rStyle w:val="CommentReference"/>
          <w:rFonts w:ascii="Calibri" w:eastAsia="Calibri" w:hAnsi="Calibri" w:cs="Times New Roman"/>
          <w:lang w:val="x-none" w:eastAsia="x-none"/>
        </w:rPr>
        <w:commentReference w:id="7"/>
      </w:r>
    </w:p>
    <w:p w:rsidR="006F5677" w:rsidRPr="009E1B53" w:rsidRDefault="006F5677" w:rsidP="006F5677">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3.5.6 </w:t>
      </w:r>
      <w:r w:rsidRPr="009E1B53">
        <w:rPr>
          <w:rFonts w:ascii="Times New Roman" w:hAnsi="Times New Roman" w:cs="Times New Roman"/>
          <w:b/>
          <w:sz w:val="24"/>
          <w:szCs w:val="24"/>
        </w:rPr>
        <w:t>Determinação da Atividade da Acetilcolinesterase (AChE)</w:t>
      </w:r>
    </w:p>
    <w:p w:rsidR="006F5677" w:rsidRPr="009E1B53" w:rsidRDefault="006F5677" w:rsidP="006F5677">
      <w:pPr>
        <w:spacing w:after="0" w:line="360" w:lineRule="auto"/>
        <w:ind w:firstLine="709"/>
        <w:jc w:val="both"/>
        <w:rPr>
          <w:rFonts w:ascii="Times New Roman" w:hAnsi="Times New Roman" w:cs="Times New Roman"/>
          <w:sz w:val="24"/>
          <w:szCs w:val="24"/>
        </w:rPr>
      </w:pPr>
      <w:r w:rsidRPr="009E1B53">
        <w:rPr>
          <w:rFonts w:ascii="Times New Roman" w:hAnsi="Times New Roman" w:cs="Times New Roman"/>
          <w:b/>
          <w:sz w:val="24"/>
          <w:szCs w:val="24"/>
        </w:rPr>
        <w:tab/>
      </w:r>
      <w:r w:rsidRPr="009E1B53">
        <w:rPr>
          <w:rFonts w:ascii="Times New Roman" w:hAnsi="Times New Roman" w:cs="Times New Roman"/>
          <w:sz w:val="24"/>
          <w:szCs w:val="24"/>
        </w:rPr>
        <w:t xml:space="preserve">A atividade acetilcolinesterásica (AChE) </w:t>
      </w:r>
      <w:r>
        <w:rPr>
          <w:rFonts w:ascii="Times New Roman" w:hAnsi="Times New Roman" w:cs="Times New Roman"/>
          <w:sz w:val="24"/>
          <w:szCs w:val="24"/>
        </w:rPr>
        <w:t>será</w:t>
      </w:r>
      <w:r w:rsidRPr="009E1B53">
        <w:rPr>
          <w:rFonts w:ascii="Times New Roman" w:hAnsi="Times New Roman" w:cs="Times New Roman"/>
          <w:sz w:val="24"/>
          <w:szCs w:val="24"/>
        </w:rPr>
        <w:t xml:space="preserve"> determinada a 25 ºC e pH 8,0, de acordo com o método de Ellman </w:t>
      </w:r>
      <w:r w:rsidRPr="009E1B53">
        <w:rPr>
          <w:rFonts w:ascii="Times New Roman" w:hAnsi="Times New Roman" w:cs="Times New Roman"/>
          <w:i/>
          <w:sz w:val="24"/>
          <w:szCs w:val="24"/>
        </w:rPr>
        <w:t>et al.,</w:t>
      </w:r>
      <w:r w:rsidRPr="009E1B53">
        <w:rPr>
          <w:rFonts w:ascii="Times New Roman" w:hAnsi="Times New Roman" w:cs="Times New Roman"/>
          <w:sz w:val="24"/>
          <w:szCs w:val="24"/>
        </w:rPr>
        <w:t xml:space="preserve"> (1961),  que tem como princípio a medida da velocidade de produção da tiocolina à proporção que a acetiltiocolina (ATC), utilizada como substrato, é hidrolisada. Isto é acompanhado pela reação contínua do tiol com o íon 5:5’-ditio-bis-2 nitrobenzoato (I) para produzir o ânion amarelo do ácido 5-tio-2 nitrobenzóico (II). </w:t>
      </w:r>
    </w:p>
    <w:p w:rsidR="006F5677" w:rsidRPr="009E1B53" w:rsidRDefault="006F5677" w:rsidP="006F5677">
      <w:pPr>
        <w:spacing w:after="0" w:line="360" w:lineRule="auto"/>
        <w:ind w:firstLine="709"/>
        <w:jc w:val="both"/>
        <w:rPr>
          <w:rFonts w:ascii="Times New Roman" w:hAnsi="Times New Roman" w:cs="Times New Roman"/>
          <w:sz w:val="24"/>
          <w:szCs w:val="24"/>
        </w:rPr>
      </w:pPr>
      <w:r w:rsidRPr="009E1B53">
        <w:rPr>
          <w:rFonts w:ascii="Times New Roman" w:hAnsi="Times New Roman" w:cs="Times New Roman"/>
          <w:sz w:val="24"/>
          <w:szCs w:val="24"/>
        </w:rPr>
        <w:tab/>
        <w:t xml:space="preserve">A atividade enzimática </w:t>
      </w:r>
      <w:r>
        <w:rPr>
          <w:rFonts w:ascii="Times New Roman" w:hAnsi="Times New Roman" w:cs="Times New Roman"/>
          <w:sz w:val="24"/>
          <w:szCs w:val="24"/>
        </w:rPr>
        <w:t>será</w:t>
      </w:r>
      <w:r w:rsidRPr="009E1B53">
        <w:rPr>
          <w:rFonts w:ascii="Times New Roman" w:hAnsi="Times New Roman" w:cs="Times New Roman"/>
          <w:sz w:val="24"/>
          <w:szCs w:val="24"/>
        </w:rPr>
        <w:t xml:space="preserve"> medida através da leitura da variação da absorbância por minuto, durante 3 minutos, sendo a reação linear durante, pelo menos, 10 minutos (ALLES; HAWES, 1953). </w:t>
      </w:r>
      <w:commentRangeStart w:id="8"/>
      <w:r w:rsidRPr="009E1B53">
        <w:rPr>
          <w:rFonts w:ascii="Times New Roman" w:hAnsi="Times New Roman" w:cs="Times New Roman"/>
          <w:sz w:val="24"/>
          <w:szCs w:val="24"/>
        </w:rPr>
        <w:t>As leituras das absorbâncias foram feitas no comprimento de onda de 412 nm, através de um espectrofotômetro (</w:t>
      </w:r>
      <w:r w:rsidRPr="009E1B53">
        <w:rPr>
          <w:rFonts w:ascii="Times New Roman" w:hAnsi="Times New Roman" w:cs="Times New Roman"/>
          <w:i/>
          <w:sz w:val="24"/>
          <w:szCs w:val="24"/>
        </w:rPr>
        <w:t>Beckman</w:t>
      </w:r>
      <w:r w:rsidRPr="009E1B53">
        <w:rPr>
          <w:rFonts w:ascii="Times New Roman" w:hAnsi="Times New Roman" w:cs="Times New Roman"/>
          <w:sz w:val="24"/>
          <w:szCs w:val="24"/>
        </w:rPr>
        <w:t xml:space="preserve"> DU acoplado a um sistema de modernização da Gilford, USA ou </w:t>
      </w:r>
      <w:r w:rsidRPr="009E1B53">
        <w:rPr>
          <w:rFonts w:ascii="Times New Roman" w:hAnsi="Times New Roman" w:cs="Times New Roman"/>
          <w:i/>
          <w:sz w:val="24"/>
          <w:szCs w:val="24"/>
        </w:rPr>
        <w:t>Beckman</w:t>
      </w:r>
      <w:r w:rsidRPr="009E1B53">
        <w:rPr>
          <w:rFonts w:ascii="Times New Roman" w:hAnsi="Times New Roman" w:cs="Times New Roman"/>
          <w:sz w:val="24"/>
          <w:szCs w:val="24"/>
        </w:rPr>
        <w:t>, modelo DU 640B, CA, USA) que permitiu leituras automáticas em sistema digital e forneceu maior sensibilidade (leitura em décimos de milésimos de absorbância). A atividade específica foi expressa em nmoles de ATC hidrolisados por miligrama de proteína por minuto.</w:t>
      </w:r>
      <w:commentRangeEnd w:id="8"/>
      <w:r>
        <w:rPr>
          <w:rStyle w:val="CommentReference"/>
          <w:rFonts w:ascii="Calibri" w:eastAsia="Calibri" w:hAnsi="Calibri" w:cs="Times New Roman"/>
          <w:lang w:val="x-none" w:eastAsia="x-none"/>
        </w:rPr>
        <w:commentReference w:id="8"/>
      </w:r>
    </w:p>
    <w:p w:rsidR="006F5677" w:rsidRPr="009E1B53" w:rsidRDefault="006F5677" w:rsidP="006F5677">
      <w:pPr>
        <w:spacing w:before="240" w:line="360" w:lineRule="auto"/>
        <w:ind w:firstLine="709"/>
        <w:jc w:val="both"/>
        <w:rPr>
          <w:rFonts w:ascii="Times New Roman" w:hAnsi="Times New Roman" w:cs="Times New Roman"/>
          <w:sz w:val="24"/>
          <w:szCs w:val="24"/>
        </w:rPr>
      </w:pPr>
      <w:r w:rsidRPr="009E1B53">
        <w:rPr>
          <w:rFonts w:ascii="Times New Roman" w:hAnsi="Times New Roman" w:cs="Times New Roman"/>
          <w:noProof/>
          <w:sz w:val="24"/>
          <w:szCs w:val="24"/>
          <w:lang w:val="en-US"/>
        </w:rPr>
        <w:drawing>
          <wp:inline distT="0" distB="0" distL="0" distR="0" wp14:anchorId="57371C88" wp14:editId="784E649F">
            <wp:extent cx="4972050" cy="96202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72050" cy="962025"/>
                    </a:xfrm>
                    <a:prstGeom prst="rect">
                      <a:avLst/>
                    </a:prstGeom>
                    <a:noFill/>
                    <a:ln>
                      <a:noFill/>
                    </a:ln>
                  </pic:spPr>
                </pic:pic>
              </a:graphicData>
            </a:graphic>
          </wp:inline>
        </w:drawing>
      </w:r>
    </w:p>
    <w:p w:rsidR="006F5677" w:rsidRPr="009E1B53" w:rsidRDefault="006F5677" w:rsidP="006F5677">
      <w:pPr>
        <w:spacing w:after="0" w:line="360" w:lineRule="auto"/>
        <w:ind w:firstLine="709"/>
        <w:jc w:val="both"/>
        <w:rPr>
          <w:rFonts w:ascii="Times New Roman" w:hAnsi="Times New Roman" w:cs="Times New Roman"/>
          <w:sz w:val="24"/>
          <w:szCs w:val="24"/>
        </w:rPr>
      </w:pPr>
      <w:r w:rsidRPr="009E1B53">
        <w:rPr>
          <w:rFonts w:ascii="Times New Roman" w:hAnsi="Times New Roman" w:cs="Times New Roman"/>
          <w:sz w:val="24"/>
          <w:szCs w:val="24"/>
        </w:rPr>
        <w:t xml:space="preserve">As soluções utilizadas neste teste: </w:t>
      </w:r>
    </w:p>
    <w:p w:rsidR="006F5677" w:rsidRPr="009E1B53" w:rsidRDefault="006F5677" w:rsidP="006F5677">
      <w:pPr>
        <w:spacing w:after="0" w:line="360" w:lineRule="auto"/>
        <w:ind w:firstLine="709"/>
        <w:jc w:val="both"/>
        <w:rPr>
          <w:rFonts w:ascii="Times New Roman" w:hAnsi="Times New Roman" w:cs="Times New Roman"/>
          <w:sz w:val="24"/>
          <w:szCs w:val="24"/>
        </w:rPr>
      </w:pPr>
      <w:r w:rsidRPr="009E1B53">
        <w:rPr>
          <w:rFonts w:ascii="Times New Roman" w:hAnsi="Times New Roman" w:cs="Times New Roman"/>
          <w:sz w:val="24"/>
          <w:szCs w:val="24"/>
        </w:rPr>
        <w:t xml:space="preserve">- Solução de ácido 5:5’-dito- bis-2 nitrobenzoato, DTNB (Sigma, St. Louis, MO, USA) 10 mM em tampão de sódio; </w:t>
      </w:r>
    </w:p>
    <w:p w:rsidR="006F5677" w:rsidRPr="009E1B53" w:rsidRDefault="006F5677" w:rsidP="006F5677">
      <w:pPr>
        <w:spacing w:after="0" w:line="360" w:lineRule="auto"/>
        <w:ind w:firstLine="709"/>
        <w:jc w:val="both"/>
        <w:rPr>
          <w:rFonts w:ascii="Times New Roman" w:hAnsi="Times New Roman" w:cs="Times New Roman"/>
          <w:sz w:val="24"/>
          <w:szCs w:val="24"/>
        </w:rPr>
      </w:pPr>
      <w:r w:rsidRPr="009E1B53">
        <w:rPr>
          <w:rFonts w:ascii="Times New Roman" w:hAnsi="Times New Roman" w:cs="Times New Roman"/>
          <w:sz w:val="24"/>
          <w:szCs w:val="24"/>
        </w:rPr>
        <w:t>- Solução de iodeto de acetilicolina, ATC (Sigma, Sr. Louis, MO, USA) 75 mM em água bidestilada; Tampão de Fosfato de Sódio: NaH</w:t>
      </w:r>
      <w:r w:rsidRPr="009E1B53">
        <w:rPr>
          <w:rFonts w:ascii="Times New Roman" w:hAnsi="Times New Roman" w:cs="Times New Roman"/>
          <w:sz w:val="24"/>
          <w:szCs w:val="24"/>
          <w:vertAlign w:val="subscript"/>
        </w:rPr>
        <w:t>2</w:t>
      </w:r>
      <w:r w:rsidRPr="009E1B53">
        <w:rPr>
          <w:rFonts w:ascii="Times New Roman" w:hAnsi="Times New Roman" w:cs="Times New Roman"/>
          <w:sz w:val="24"/>
          <w:szCs w:val="24"/>
        </w:rPr>
        <w:t>OPO</w:t>
      </w:r>
      <w:r w:rsidRPr="009E1B53">
        <w:rPr>
          <w:rFonts w:ascii="Times New Roman" w:hAnsi="Times New Roman" w:cs="Times New Roman"/>
          <w:sz w:val="24"/>
          <w:szCs w:val="24"/>
          <w:vertAlign w:val="subscript"/>
        </w:rPr>
        <w:t>4</w:t>
      </w:r>
      <w:r w:rsidRPr="009E1B53">
        <w:rPr>
          <w:rFonts w:ascii="Times New Roman" w:hAnsi="Times New Roman" w:cs="Times New Roman"/>
          <w:sz w:val="24"/>
          <w:szCs w:val="24"/>
        </w:rPr>
        <w:t>.H</w:t>
      </w:r>
      <w:r w:rsidRPr="009E1B53">
        <w:rPr>
          <w:rFonts w:ascii="Times New Roman" w:hAnsi="Times New Roman" w:cs="Times New Roman"/>
          <w:sz w:val="24"/>
          <w:szCs w:val="24"/>
          <w:vertAlign w:val="subscript"/>
        </w:rPr>
        <w:t>2</w:t>
      </w:r>
      <w:r w:rsidRPr="009E1B53">
        <w:rPr>
          <w:rFonts w:ascii="Times New Roman" w:hAnsi="Times New Roman" w:cs="Times New Roman"/>
          <w:sz w:val="24"/>
          <w:szCs w:val="24"/>
        </w:rPr>
        <w:t>O, 0,1</w:t>
      </w:r>
      <w:r>
        <w:rPr>
          <w:rFonts w:ascii="Times New Roman" w:hAnsi="Times New Roman" w:cs="Times New Roman"/>
          <w:sz w:val="24"/>
          <w:szCs w:val="24"/>
        </w:rPr>
        <w:t xml:space="preserve"> mM em água bidestilada, pH 7.0.</w:t>
      </w:r>
    </w:p>
    <w:p w:rsidR="006F5677" w:rsidRPr="009E1B53" w:rsidRDefault="006F5677" w:rsidP="006F5677">
      <w:pPr>
        <w:spacing w:after="0" w:line="360" w:lineRule="auto"/>
        <w:ind w:firstLine="709"/>
        <w:jc w:val="both"/>
        <w:rPr>
          <w:rFonts w:ascii="Times New Roman" w:hAnsi="Times New Roman" w:cs="Times New Roman"/>
          <w:sz w:val="24"/>
          <w:szCs w:val="24"/>
        </w:rPr>
      </w:pPr>
      <w:r w:rsidRPr="009E1B53">
        <w:rPr>
          <w:rFonts w:ascii="Times New Roman" w:hAnsi="Times New Roman" w:cs="Times New Roman"/>
          <w:sz w:val="24"/>
          <w:szCs w:val="24"/>
        </w:rPr>
        <w:t xml:space="preserve">Os tecidos </w:t>
      </w:r>
      <w:r>
        <w:rPr>
          <w:rFonts w:ascii="Times New Roman" w:hAnsi="Times New Roman" w:cs="Times New Roman"/>
          <w:sz w:val="24"/>
          <w:szCs w:val="24"/>
        </w:rPr>
        <w:t>serão</w:t>
      </w:r>
      <w:r w:rsidRPr="009E1B53">
        <w:rPr>
          <w:rFonts w:ascii="Times New Roman" w:hAnsi="Times New Roman" w:cs="Times New Roman"/>
          <w:sz w:val="24"/>
          <w:szCs w:val="24"/>
        </w:rPr>
        <w:t xml:space="preserve"> homogeneizados em tampão fosfato 10% e o homogenato (5 µL) </w:t>
      </w:r>
      <w:r>
        <w:rPr>
          <w:rFonts w:ascii="Times New Roman" w:hAnsi="Times New Roman" w:cs="Times New Roman"/>
          <w:sz w:val="24"/>
          <w:szCs w:val="24"/>
        </w:rPr>
        <w:t>será</w:t>
      </w:r>
      <w:r w:rsidRPr="009E1B53">
        <w:rPr>
          <w:rFonts w:ascii="Times New Roman" w:hAnsi="Times New Roman" w:cs="Times New Roman"/>
          <w:sz w:val="24"/>
          <w:szCs w:val="24"/>
        </w:rPr>
        <w:t xml:space="preserve"> adicionado a uma cubeta contendo 500 µL do tampão, 895 µl de  água  destilada  e  50  µL  de  ácido  ditiobisnitrobenzóico  (DTNB)  0,01M  e  a  absorbância  zerada.  </w:t>
      </w:r>
    </w:p>
    <w:p w:rsidR="006F5677" w:rsidRDefault="006F5677" w:rsidP="006F5677">
      <w:pPr>
        <w:spacing w:after="0" w:line="360" w:lineRule="auto"/>
        <w:ind w:firstLine="709"/>
        <w:jc w:val="both"/>
        <w:rPr>
          <w:rFonts w:ascii="Times New Roman" w:hAnsi="Times New Roman" w:cs="Times New Roman"/>
          <w:sz w:val="24"/>
          <w:szCs w:val="24"/>
        </w:rPr>
      </w:pPr>
      <w:r w:rsidRPr="009E1B53">
        <w:rPr>
          <w:rFonts w:ascii="Times New Roman" w:hAnsi="Times New Roman" w:cs="Times New Roman"/>
          <w:sz w:val="24"/>
          <w:szCs w:val="24"/>
        </w:rPr>
        <w:t>Após a absorbância ser deixada em zero, a cubeta é retirada e acrescentado 50µL de iodeto de acetiotiocolina (ATC)</w:t>
      </w:r>
      <w:r>
        <w:rPr>
          <w:rFonts w:ascii="Times New Roman" w:hAnsi="Times New Roman" w:cs="Times New Roman"/>
          <w:sz w:val="24"/>
          <w:szCs w:val="24"/>
        </w:rPr>
        <w:t xml:space="preserve"> (QUADRO 3)</w:t>
      </w:r>
      <w:r w:rsidRPr="009E1B53">
        <w:rPr>
          <w:rFonts w:ascii="Times New Roman" w:hAnsi="Times New Roman" w:cs="Times New Roman"/>
          <w:sz w:val="24"/>
          <w:szCs w:val="24"/>
        </w:rPr>
        <w:t xml:space="preserve">. Absorbância </w:t>
      </w:r>
      <w:r>
        <w:rPr>
          <w:rFonts w:ascii="Times New Roman" w:hAnsi="Times New Roman" w:cs="Times New Roman"/>
          <w:sz w:val="24"/>
          <w:szCs w:val="24"/>
        </w:rPr>
        <w:t>será</w:t>
      </w:r>
      <w:r w:rsidRPr="009E1B53">
        <w:rPr>
          <w:rFonts w:ascii="Times New Roman" w:hAnsi="Times New Roman" w:cs="Times New Roman"/>
          <w:sz w:val="24"/>
          <w:szCs w:val="24"/>
        </w:rPr>
        <w:t xml:space="preserve"> registrada por 3 min, em 412 nM. A atividade da enzima </w:t>
      </w:r>
      <w:r>
        <w:rPr>
          <w:rFonts w:ascii="Times New Roman" w:hAnsi="Times New Roman" w:cs="Times New Roman"/>
          <w:sz w:val="24"/>
          <w:szCs w:val="24"/>
        </w:rPr>
        <w:t>será</w:t>
      </w:r>
      <w:r w:rsidRPr="009E1B53">
        <w:rPr>
          <w:rFonts w:ascii="Times New Roman" w:hAnsi="Times New Roman" w:cs="Times New Roman"/>
          <w:sz w:val="24"/>
          <w:szCs w:val="24"/>
        </w:rPr>
        <w:t xml:space="preserve"> calculada como modificações na absorbância do minuto 3 para o minuto 0, relativo ao  conteúdo  de  proteína  contido  no  homogenato  (LOWRY  </w:t>
      </w:r>
      <w:r w:rsidRPr="009E1B53">
        <w:rPr>
          <w:rFonts w:ascii="Times New Roman" w:hAnsi="Times New Roman" w:cs="Times New Roman"/>
          <w:i/>
          <w:sz w:val="24"/>
          <w:szCs w:val="24"/>
        </w:rPr>
        <w:t>et  al</w:t>
      </w:r>
      <w:r w:rsidRPr="009E1B53">
        <w:rPr>
          <w:rFonts w:ascii="Times New Roman" w:hAnsi="Times New Roman" w:cs="Times New Roman"/>
          <w:sz w:val="24"/>
          <w:szCs w:val="24"/>
        </w:rPr>
        <w:t>.,  1951).</w:t>
      </w:r>
    </w:p>
    <w:p w:rsidR="006F5677" w:rsidRPr="009E1B53" w:rsidRDefault="006F5677" w:rsidP="006F5677">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3.5.7 </w:t>
      </w:r>
      <w:r w:rsidRPr="009E1B53">
        <w:rPr>
          <w:rFonts w:ascii="Times New Roman" w:hAnsi="Times New Roman" w:cs="Times New Roman"/>
          <w:b/>
          <w:sz w:val="24"/>
          <w:szCs w:val="24"/>
        </w:rPr>
        <w:t xml:space="preserve">Dosagem de Proteína </w:t>
      </w:r>
    </w:p>
    <w:p w:rsidR="006F5677" w:rsidRPr="009E1B53" w:rsidRDefault="006F5677" w:rsidP="006F5677">
      <w:pPr>
        <w:spacing w:after="0" w:line="360" w:lineRule="auto"/>
        <w:ind w:firstLine="709"/>
        <w:jc w:val="both"/>
        <w:rPr>
          <w:rFonts w:ascii="Times New Roman" w:hAnsi="Times New Roman" w:cs="Times New Roman"/>
          <w:sz w:val="24"/>
          <w:szCs w:val="24"/>
        </w:rPr>
      </w:pPr>
      <w:r w:rsidRPr="009E1B53">
        <w:rPr>
          <w:rFonts w:ascii="Times New Roman" w:hAnsi="Times New Roman" w:cs="Times New Roman"/>
          <w:sz w:val="24"/>
          <w:szCs w:val="24"/>
        </w:rPr>
        <w:t xml:space="preserve">O método é baseado na interação do corante </w:t>
      </w:r>
      <w:r w:rsidRPr="009E1B53">
        <w:rPr>
          <w:rFonts w:ascii="Times New Roman" w:hAnsi="Times New Roman" w:cs="Times New Roman"/>
          <w:i/>
          <w:sz w:val="24"/>
          <w:szCs w:val="24"/>
        </w:rPr>
        <w:t>Coomassie Blue</w:t>
      </w:r>
      <w:r w:rsidRPr="009E1B53">
        <w:rPr>
          <w:rFonts w:ascii="Times New Roman" w:hAnsi="Times New Roman" w:cs="Times New Roman"/>
          <w:sz w:val="24"/>
          <w:szCs w:val="24"/>
        </w:rPr>
        <w:t xml:space="preserve"> G250 (BG250) e macromoléculas de proteínas que contêm aminoácidos de cadeias laterais básicas ou aromáticas. No pH de reação, a interação entre a proteína de alto peso molecular e o corante BG250 provoca o deslocamento do equilíbrio do corante para a forma aniônica que absorve fortemente em 595nm.</w:t>
      </w:r>
    </w:p>
    <w:p w:rsidR="006F5677" w:rsidRPr="009E1B53" w:rsidRDefault="006F5677" w:rsidP="006F5677">
      <w:pPr>
        <w:spacing w:after="0" w:line="360" w:lineRule="auto"/>
        <w:ind w:firstLine="709"/>
        <w:jc w:val="both"/>
        <w:rPr>
          <w:rFonts w:ascii="Times New Roman" w:hAnsi="Times New Roman" w:cs="Times New Roman"/>
          <w:sz w:val="24"/>
          <w:szCs w:val="24"/>
        </w:rPr>
      </w:pPr>
      <w:r w:rsidRPr="009E1B53">
        <w:rPr>
          <w:rFonts w:ascii="Times New Roman" w:hAnsi="Times New Roman" w:cs="Times New Roman"/>
          <w:sz w:val="24"/>
          <w:szCs w:val="24"/>
        </w:rPr>
        <w:t xml:space="preserve">A Solução Mãe de </w:t>
      </w:r>
      <w:r w:rsidRPr="009E1B53">
        <w:rPr>
          <w:rFonts w:ascii="Times New Roman" w:hAnsi="Times New Roman" w:cs="Times New Roman"/>
          <w:i/>
          <w:sz w:val="24"/>
          <w:szCs w:val="24"/>
        </w:rPr>
        <w:t>Coomassie Blue</w:t>
      </w:r>
      <w:r w:rsidRPr="009E1B53">
        <w:rPr>
          <w:rFonts w:ascii="Times New Roman" w:hAnsi="Times New Roman" w:cs="Times New Roman"/>
          <w:sz w:val="24"/>
          <w:szCs w:val="24"/>
        </w:rPr>
        <w:t xml:space="preserve"> G250 </w:t>
      </w:r>
      <w:r>
        <w:rPr>
          <w:rFonts w:ascii="Times New Roman" w:hAnsi="Times New Roman" w:cs="Times New Roman"/>
          <w:sz w:val="24"/>
          <w:szCs w:val="24"/>
        </w:rPr>
        <w:t>será</w:t>
      </w:r>
      <w:r w:rsidRPr="009E1B53">
        <w:rPr>
          <w:rFonts w:ascii="Times New Roman" w:hAnsi="Times New Roman" w:cs="Times New Roman"/>
          <w:sz w:val="24"/>
          <w:szCs w:val="24"/>
        </w:rPr>
        <w:t xml:space="preserve"> diluída 5x com H</w:t>
      </w:r>
      <w:r w:rsidRPr="009E1B53">
        <w:rPr>
          <w:rFonts w:ascii="Times New Roman" w:hAnsi="Times New Roman" w:cs="Times New Roman"/>
          <w:sz w:val="24"/>
          <w:szCs w:val="24"/>
          <w:vertAlign w:val="subscript"/>
        </w:rPr>
        <w:t>2</w:t>
      </w:r>
      <w:r w:rsidRPr="009E1B53">
        <w:rPr>
          <w:rFonts w:ascii="Times New Roman" w:hAnsi="Times New Roman" w:cs="Times New Roman"/>
          <w:sz w:val="24"/>
          <w:szCs w:val="24"/>
        </w:rPr>
        <w:t>O destilada antes de ser usada e permanece</w:t>
      </w:r>
      <w:r>
        <w:rPr>
          <w:rFonts w:ascii="Times New Roman" w:hAnsi="Times New Roman" w:cs="Times New Roman"/>
          <w:sz w:val="24"/>
          <w:szCs w:val="24"/>
        </w:rPr>
        <w:t>rá</w:t>
      </w:r>
      <w:r w:rsidRPr="009E1B53">
        <w:rPr>
          <w:rFonts w:ascii="Times New Roman" w:hAnsi="Times New Roman" w:cs="Times New Roman"/>
          <w:sz w:val="24"/>
          <w:szCs w:val="24"/>
        </w:rPr>
        <w:t xml:space="preserve"> na geladeira por, no máximo, uma semana (Ex.: 1mL da solução mãe + 4mL de água destilada) -  SOLUÇÃO DE </w:t>
      </w:r>
      <w:r w:rsidRPr="009E1B53">
        <w:rPr>
          <w:rFonts w:ascii="Times New Roman" w:hAnsi="Times New Roman" w:cs="Times New Roman"/>
          <w:i/>
          <w:sz w:val="24"/>
          <w:szCs w:val="24"/>
        </w:rPr>
        <w:t>BRADFORD</w:t>
      </w:r>
      <w:r w:rsidRPr="009E1B53">
        <w:rPr>
          <w:rFonts w:ascii="Times New Roman" w:hAnsi="Times New Roman" w:cs="Times New Roman"/>
          <w:sz w:val="24"/>
          <w:szCs w:val="24"/>
        </w:rPr>
        <w:t xml:space="preserve"> Adicionar-se</w:t>
      </w:r>
      <w:r>
        <w:rPr>
          <w:rFonts w:ascii="Times New Roman" w:hAnsi="Times New Roman" w:cs="Times New Roman"/>
          <w:sz w:val="24"/>
          <w:szCs w:val="24"/>
        </w:rPr>
        <w:t>-ão</w:t>
      </w:r>
      <w:r w:rsidRPr="009E1B53">
        <w:rPr>
          <w:rFonts w:ascii="Times New Roman" w:hAnsi="Times New Roman" w:cs="Times New Roman"/>
          <w:sz w:val="24"/>
          <w:szCs w:val="24"/>
        </w:rPr>
        <w:t xml:space="preserve"> as soluções (albumina padrão, água destilada, tampão e amostras) aos poços. </w:t>
      </w:r>
    </w:p>
    <w:p w:rsidR="006F5677" w:rsidRPr="009E1B53" w:rsidRDefault="006F5677" w:rsidP="006F5677">
      <w:pPr>
        <w:spacing w:after="0" w:line="360" w:lineRule="auto"/>
        <w:ind w:firstLine="709"/>
        <w:jc w:val="both"/>
        <w:rPr>
          <w:rFonts w:ascii="Times New Roman" w:hAnsi="Times New Roman" w:cs="Times New Roman"/>
          <w:sz w:val="24"/>
          <w:szCs w:val="24"/>
        </w:rPr>
      </w:pPr>
      <w:r w:rsidRPr="009E1B53">
        <w:rPr>
          <w:rFonts w:ascii="Times New Roman" w:hAnsi="Times New Roman" w:cs="Times New Roman"/>
          <w:sz w:val="24"/>
          <w:szCs w:val="24"/>
        </w:rPr>
        <w:t xml:space="preserve">Em cada poço </w:t>
      </w:r>
      <w:r>
        <w:rPr>
          <w:rFonts w:ascii="Times New Roman" w:hAnsi="Times New Roman" w:cs="Times New Roman"/>
          <w:sz w:val="24"/>
          <w:szCs w:val="24"/>
        </w:rPr>
        <w:t>será</w:t>
      </w:r>
      <w:r w:rsidRPr="009E1B53">
        <w:rPr>
          <w:rFonts w:ascii="Times New Roman" w:hAnsi="Times New Roman" w:cs="Times New Roman"/>
          <w:sz w:val="24"/>
          <w:szCs w:val="24"/>
        </w:rPr>
        <w:t xml:space="preserve"> adicionado 40µL de solução. Por exemplo, se no poço for</w:t>
      </w:r>
      <w:r>
        <w:rPr>
          <w:rFonts w:ascii="Times New Roman" w:hAnsi="Times New Roman" w:cs="Times New Roman"/>
          <w:sz w:val="24"/>
          <w:szCs w:val="24"/>
        </w:rPr>
        <w:t>e</w:t>
      </w:r>
      <w:r w:rsidRPr="009E1B53">
        <w:rPr>
          <w:rFonts w:ascii="Times New Roman" w:hAnsi="Times New Roman" w:cs="Times New Roman"/>
          <w:sz w:val="24"/>
          <w:szCs w:val="24"/>
        </w:rPr>
        <w:t xml:space="preserve">m adicionados 2µL da amostra, também </w:t>
      </w:r>
      <w:r>
        <w:rPr>
          <w:rFonts w:ascii="Times New Roman" w:hAnsi="Times New Roman" w:cs="Times New Roman"/>
          <w:sz w:val="24"/>
          <w:szCs w:val="24"/>
        </w:rPr>
        <w:t>serão</w:t>
      </w:r>
      <w:r w:rsidRPr="009E1B53">
        <w:rPr>
          <w:rFonts w:ascii="Times New Roman" w:hAnsi="Times New Roman" w:cs="Times New Roman"/>
          <w:sz w:val="24"/>
          <w:szCs w:val="24"/>
        </w:rPr>
        <w:t xml:space="preserve"> adicionados 38µL do tampão utilizado no preparo da amostra.  </w:t>
      </w:r>
    </w:p>
    <w:p w:rsidR="006F5677" w:rsidRDefault="006F5677" w:rsidP="006F5677">
      <w:pPr>
        <w:spacing w:before="240" w:line="360" w:lineRule="auto"/>
        <w:ind w:firstLine="709"/>
        <w:jc w:val="both"/>
        <w:rPr>
          <w:rFonts w:ascii="Times New Roman" w:hAnsi="Times New Roman" w:cs="Times New Roman"/>
          <w:sz w:val="24"/>
          <w:szCs w:val="24"/>
        </w:rPr>
      </w:pPr>
      <w:r w:rsidRPr="009E1B53">
        <w:rPr>
          <w:rFonts w:ascii="Times New Roman" w:hAnsi="Times New Roman" w:cs="Times New Roman"/>
          <w:sz w:val="24"/>
          <w:szCs w:val="24"/>
        </w:rPr>
        <w:t xml:space="preserve">Albumina em concentrações crescentes (EM DUPLICATA para fazer a curva </w:t>
      </w:r>
      <w:commentRangeStart w:id="9"/>
      <w:r w:rsidRPr="009E1B53">
        <w:rPr>
          <w:rFonts w:ascii="Times New Roman" w:hAnsi="Times New Roman" w:cs="Times New Roman"/>
          <w:sz w:val="24"/>
          <w:szCs w:val="24"/>
        </w:rPr>
        <w:t>padrão</w:t>
      </w:r>
      <w:commentRangeEnd w:id="9"/>
      <w:r>
        <w:rPr>
          <w:rStyle w:val="CommentReference"/>
          <w:rFonts w:ascii="Calibri" w:eastAsia="Calibri" w:hAnsi="Calibri" w:cs="Times New Roman"/>
          <w:lang w:val="x-none" w:eastAsia="x-none"/>
        </w:rPr>
        <w:commentReference w:id="9"/>
      </w:r>
      <w:r w:rsidRPr="009E1B53">
        <w:rPr>
          <w:rFonts w:ascii="Times New Roman" w:hAnsi="Times New Roman" w:cs="Times New Roman"/>
          <w:sz w:val="24"/>
          <w:szCs w:val="24"/>
        </w:rPr>
        <w:t xml:space="preserve">) Amostras (tampão utilizado para o homogenato e em seguida </w:t>
      </w:r>
      <w:r>
        <w:rPr>
          <w:rFonts w:ascii="Times New Roman" w:hAnsi="Times New Roman" w:cs="Times New Roman"/>
          <w:sz w:val="24"/>
          <w:szCs w:val="24"/>
        </w:rPr>
        <w:t>será</w:t>
      </w:r>
      <w:r w:rsidRPr="009E1B53">
        <w:rPr>
          <w:rFonts w:ascii="Times New Roman" w:hAnsi="Times New Roman" w:cs="Times New Roman"/>
          <w:sz w:val="24"/>
          <w:szCs w:val="24"/>
        </w:rPr>
        <w:t xml:space="preserve"> acrescentado às amostras: o volume final deve ser de 40µL). Branco – 2 poços somente com o homogenato utilizado. Após preencher a placa, </w:t>
      </w:r>
      <w:r>
        <w:rPr>
          <w:rFonts w:ascii="Times New Roman" w:hAnsi="Times New Roman" w:cs="Times New Roman"/>
          <w:sz w:val="24"/>
          <w:szCs w:val="24"/>
        </w:rPr>
        <w:t>serão</w:t>
      </w:r>
      <w:r w:rsidRPr="009E1B53">
        <w:rPr>
          <w:rFonts w:ascii="Times New Roman" w:hAnsi="Times New Roman" w:cs="Times New Roman"/>
          <w:sz w:val="24"/>
          <w:szCs w:val="24"/>
        </w:rPr>
        <w:t xml:space="preserve"> adicionados 200 µl da solução de bradford (diluída) em cada poço. A leitura </w:t>
      </w:r>
      <w:r>
        <w:rPr>
          <w:rFonts w:ascii="Times New Roman" w:hAnsi="Times New Roman" w:cs="Times New Roman"/>
          <w:sz w:val="24"/>
          <w:szCs w:val="24"/>
        </w:rPr>
        <w:t>será</w:t>
      </w:r>
      <w:r w:rsidRPr="009E1B53">
        <w:rPr>
          <w:rFonts w:ascii="Times New Roman" w:hAnsi="Times New Roman" w:cs="Times New Roman"/>
          <w:sz w:val="24"/>
          <w:szCs w:val="24"/>
        </w:rPr>
        <w:t xml:space="preserve"> realizada 5 minutos, em comprimento de onda de 595nm</w:t>
      </w:r>
      <w:r w:rsidRPr="001B75A0">
        <w:rPr>
          <w:rFonts w:ascii="Times New Roman" w:hAnsi="Times New Roman" w:cs="Times New Roman"/>
          <w:b/>
          <w:sz w:val="24"/>
          <w:szCs w:val="24"/>
        </w:rPr>
        <w:t xml:space="preserve"> </w:t>
      </w:r>
      <w:r w:rsidRPr="001B75A0">
        <w:rPr>
          <w:rFonts w:ascii="Times New Roman" w:hAnsi="Times New Roman" w:cs="Times New Roman"/>
          <w:sz w:val="24"/>
          <w:szCs w:val="24"/>
        </w:rPr>
        <w:t>(BRADFOR,</w:t>
      </w:r>
      <w:r>
        <w:rPr>
          <w:rFonts w:ascii="Times New Roman" w:hAnsi="Times New Roman" w:cs="Times New Roman"/>
          <w:sz w:val="24"/>
          <w:szCs w:val="24"/>
        </w:rPr>
        <w:t xml:space="preserve"> </w:t>
      </w:r>
      <w:r w:rsidRPr="001B75A0">
        <w:rPr>
          <w:rFonts w:ascii="Times New Roman" w:hAnsi="Times New Roman" w:cs="Times New Roman"/>
          <w:sz w:val="24"/>
          <w:szCs w:val="24"/>
        </w:rPr>
        <w:t>1976)</w:t>
      </w:r>
      <w:r>
        <w:rPr>
          <w:rFonts w:ascii="Times New Roman" w:hAnsi="Times New Roman" w:cs="Times New Roman"/>
          <w:sz w:val="24"/>
          <w:szCs w:val="24"/>
        </w:rPr>
        <w:t>.</w:t>
      </w:r>
    </w:p>
    <w:p w:rsidR="006F5677" w:rsidRPr="000E339D" w:rsidRDefault="006F5677" w:rsidP="006F5677">
      <w:pPr>
        <w:pStyle w:val="BodyTextIndent"/>
        <w:suppressAutoHyphens/>
        <w:spacing w:line="360" w:lineRule="auto"/>
        <w:ind w:left="480" w:right="-136"/>
        <w:jc w:val="both"/>
        <w:rPr>
          <w:rFonts w:ascii="Times New Roman" w:eastAsia="Times New Roman" w:hAnsi="Times New Roman" w:cs="Times New Roman"/>
          <w:i/>
          <w:sz w:val="24"/>
          <w:szCs w:val="24"/>
          <w:lang w:eastAsia="pt-BR"/>
        </w:rPr>
      </w:pPr>
    </w:p>
    <w:p w:rsidR="006F5677" w:rsidRPr="000E339D" w:rsidRDefault="006F5677" w:rsidP="006F5677">
      <w:pPr>
        <w:pStyle w:val="BodyTextIndent"/>
        <w:suppressAutoHyphens/>
        <w:spacing w:line="360" w:lineRule="auto"/>
        <w:ind w:left="0" w:right="-136"/>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3.5.8 </w:t>
      </w:r>
      <w:r w:rsidRPr="000E339D">
        <w:rPr>
          <w:rFonts w:ascii="Times New Roman" w:eastAsia="Times New Roman" w:hAnsi="Times New Roman" w:cs="Times New Roman"/>
          <w:b/>
          <w:sz w:val="24"/>
          <w:szCs w:val="24"/>
          <w:lang w:eastAsia="pt-BR"/>
        </w:rPr>
        <w:t>Determinação dos níveis de BDNF</w:t>
      </w:r>
    </w:p>
    <w:p w:rsidR="006F5677" w:rsidRDefault="006F5677" w:rsidP="006F5677">
      <w:pPr>
        <w:autoSpaceDE w:val="0"/>
        <w:spacing w:line="360" w:lineRule="auto"/>
        <w:ind w:right="49" w:firstLine="540"/>
        <w:jc w:val="both"/>
        <w:rPr>
          <w:rFonts w:ascii="Times New Roman" w:eastAsia="Arial Unicode MS" w:hAnsi="Times New Roman"/>
          <w:color w:val="000000"/>
          <w:sz w:val="24"/>
          <w:szCs w:val="24"/>
        </w:rPr>
      </w:pPr>
      <w:r w:rsidRPr="00A06751">
        <w:rPr>
          <w:rFonts w:ascii="Times New Roman" w:eastAsia="Arial Unicode MS" w:hAnsi="Times New Roman"/>
          <w:color w:val="000000"/>
          <w:sz w:val="24"/>
          <w:szCs w:val="24"/>
        </w:rPr>
        <w:t>Após homogeneização das áreas cerebrais</w:t>
      </w:r>
      <w:r>
        <w:rPr>
          <w:rFonts w:ascii="Times New Roman" w:eastAsia="Arial Unicode MS" w:hAnsi="Times New Roman"/>
          <w:color w:val="000000"/>
          <w:sz w:val="24"/>
          <w:szCs w:val="24"/>
        </w:rPr>
        <w:t xml:space="preserve"> a 20 volumes de tampão PBS pH 7,4 adicionado de inibidores de protease (Sigma-Aldrich)</w:t>
      </w:r>
      <w:r w:rsidRPr="00A06751">
        <w:rPr>
          <w:rFonts w:ascii="Times New Roman" w:eastAsia="Arial Unicode MS" w:hAnsi="Times New Roman"/>
          <w:color w:val="000000"/>
          <w:sz w:val="24"/>
          <w:szCs w:val="24"/>
        </w:rPr>
        <w:t xml:space="preserve">, o nível de BDNF de cada amostra será quantificado por ensaio imunoenzimático (ELISA; </w:t>
      </w:r>
      <w:r>
        <w:rPr>
          <w:rFonts w:ascii="Times New Roman" w:eastAsia="Arial Unicode MS" w:hAnsi="Times New Roman"/>
          <w:color w:val="000000"/>
          <w:sz w:val="24"/>
          <w:szCs w:val="24"/>
        </w:rPr>
        <w:t xml:space="preserve">R&amp;D Systems, </w:t>
      </w:r>
      <w:r w:rsidRPr="00A06751">
        <w:rPr>
          <w:rFonts w:ascii="Times New Roman" w:eastAsia="Arial Unicode MS" w:hAnsi="Times New Roman"/>
          <w:color w:val="000000"/>
          <w:sz w:val="24"/>
          <w:szCs w:val="24"/>
        </w:rPr>
        <w:t xml:space="preserve">USA) de acordo com as instruções do fabricante. Os resultados serão expressos como picograma </w:t>
      </w:r>
      <w:r>
        <w:rPr>
          <w:rFonts w:ascii="Times New Roman" w:eastAsia="Arial Unicode MS" w:hAnsi="Times New Roman"/>
          <w:color w:val="000000"/>
          <w:sz w:val="24"/>
          <w:szCs w:val="24"/>
        </w:rPr>
        <w:t>d</w:t>
      </w:r>
      <w:r w:rsidRPr="00A06751">
        <w:rPr>
          <w:rFonts w:ascii="Times New Roman" w:eastAsia="Arial Unicode MS" w:hAnsi="Times New Roman"/>
          <w:color w:val="000000"/>
          <w:sz w:val="24"/>
          <w:szCs w:val="24"/>
        </w:rPr>
        <w:t>e BDNF/ mg de proteína total determinada pelo método de Lowry (1951).</w:t>
      </w:r>
    </w:p>
    <w:p w:rsidR="006F5677" w:rsidRPr="0095266C" w:rsidRDefault="006F5677" w:rsidP="006F5677">
      <w:pPr>
        <w:autoSpaceDE w:val="0"/>
        <w:spacing w:line="360" w:lineRule="auto"/>
        <w:ind w:right="49"/>
        <w:jc w:val="both"/>
        <w:rPr>
          <w:rFonts w:ascii="Times New Roman" w:eastAsia="Arial Unicode MS" w:hAnsi="Times New Roman"/>
          <w:b/>
          <w:color w:val="000000"/>
          <w:sz w:val="24"/>
          <w:szCs w:val="24"/>
        </w:rPr>
      </w:pPr>
      <w:r>
        <w:rPr>
          <w:rFonts w:ascii="Times New Roman" w:eastAsia="Times New Roman" w:hAnsi="Times New Roman"/>
          <w:b/>
          <w:sz w:val="24"/>
          <w:szCs w:val="24"/>
          <w:lang w:eastAsia="pt-BR"/>
        </w:rPr>
        <w:t xml:space="preserve">3.5.9 </w:t>
      </w:r>
      <w:r w:rsidRPr="0095266C">
        <w:rPr>
          <w:rFonts w:ascii="Times New Roman" w:eastAsia="Times New Roman" w:hAnsi="Times New Roman"/>
          <w:b/>
          <w:sz w:val="24"/>
          <w:szCs w:val="24"/>
          <w:lang w:eastAsia="pt-BR"/>
        </w:rPr>
        <w:t xml:space="preserve">Determinação dos níveis de </w:t>
      </w:r>
      <w:r w:rsidRPr="0095266C">
        <w:rPr>
          <w:rFonts w:ascii="Times New Roman" w:hAnsi="Times New Roman"/>
          <w:b/>
          <w:color w:val="000000"/>
          <w:sz w:val="24"/>
          <w:szCs w:val="24"/>
        </w:rPr>
        <w:t>fosfo-Ser9-GSK3</w:t>
      </w:r>
    </w:p>
    <w:p w:rsidR="006F5677" w:rsidRDefault="006F5677" w:rsidP="006F5677">
      <w:pPr>
        <w:autoSpaceDE w:val="0"/>
        <w:spacing w:line="360" w:lineRule="auto"/>
        <w:ind w:right="49" w:firstLine="540"/>
        <w:jc w:val="both"/>
        <w:rPr>
          <w:rFonts w:ascii="Times New Roman" w:hAnsi="Times New Roman"/>
          <w:b/>
          <w:sz w:val="24"/>
          <w:szCs w:val="24"/>
        </w:rPr>
      </w:pPr>
      <w:r w:rsidRPr="00A06751">
        <w:rPr>
          <w:rFonts w:ascii="Times New Roman" w:eastAsia="Arial Unicode MS" w:hAnsi="Times New Roman"/>
          <w:color w:val="000000"/>
          <w:sz w:val="24"/>
          <w:szCs w:val="24"/>
        </w:rPr>
        <w:t>Após homogeneização das áreas cerebrais</w:t>
      </w:r>
      <w:r>
        <w:rPr>
          <w:rFonts w:ascii="Times New Roman" w:eastAsia="Arial Unicode MS" w:hAnsi="Times New Roman"/>
          <w:color w:val="000000"/>
          <w:sz w:val="24"/>
          <w:szCs w:val="24"/>
        </w:rPr>
        <w:t xml:space="preserve"> a 20 volumes de tampão PBS pH 7,4 adicionado </w:t>
      </w:r>
      <w:r w:rsidRPr="000C0F2A">
        <w:rPr>
          <w:rFonts w:ascii="Times New Roman" w:eastAsia="Arial Unicode MS" w:hAnsi="Times New Roman"/>
          <w:color w:val="000000"/>
          <w:sz w:val="24"/>
          <w:szCs w:val="24"/>
        </w:rPr>
        <w:t>de inibidores de protease</w:t>
      </w:r>
      <w:r>
        <w:rPr>
          <w:rFonts w:ascii="Times New Roman" w:eastAsia="Arial Unicode MS" w:hAnsi="Times New Roman"/>
          <w:color w:val="000000"/>
          <w:sz w:val="24"/>
          <w:szCs w:val="24"/>
        </w:rPr>
        <w:t xml:space="preserve"> (Sigma-Aldrich)</w:t>
      </w:r>
      <w:r w:rsidRPr="00A06751">
        <w:rPr>
          <w:rFonts w:ascii="Times New Roman" w:eastAsia="Arial Unicode MS" w:hAnsi="Times New Roman"/>
          <w:color w:val="000000"/>
          <w:sz w:val="24"/>
          <w:szCs w:val="24"/>
        </w:rPr>
        <w:t>, o</w:t>
      </w:r>
      <w:r>
        <w:rPr>
          <w:rFonts w:ascii="Times New Roman" w:eastAsia="Arial Unicode MS" w:hAnsi="Times New Roman"/>
          <w:color w:val="000000"/>
          <w:sz w:val="24"/>
          <w:szCs w:val="24"/>
        </w:rPr>
        <w:t>s níveis</w:t>
      </w:r>
      <w:r w:rsidRPr="00A06751">
        <w:rPr>
          <w:rFonts w:ascii="Times New Roman" w:eastAsia="Arial Unicode MS" w:hAnsi="Times New Roman"/>
          <w:color w:val="000000"/>
          <w:sz w:val="24"/>
          <w:szCs w:val="24"/>
        </w:rPr>
        <w:t xml:space="preserve"> de </w:t>
      </w:r>
      <w:r>
        <w:rPr>
          <w:rFonts w:ascii="Times New Roman" w:eastAsia="Arial Unicode MS" w:hAnsi="Times New Roman"/>
          <w:color w:val="000000"/>
          <w:sz w:val="24"/>
          <w:szCs w:val="24"/>
        </w:rPr>
        <w:t>fosfo-GSK-3β de cada amostra serão</w:t>
      </w:r>
      <w:r w:rsidRPr="00A06751">
        <w:rPr>
          <w:rFonts w:ascii="Times New Roman" w:eastAsia="Arial Unicode MS" w:hAnsi="Times New Roman"/>
          <w:color w:val="000000"/>
          <w:sz w:val="24"/>
          <w:szCs w:val="24"/>
        </w:rPr>
        <w:t xml:space="preserve"> quantificado</w:t>
      </w:r>
      <w:r>
        <w:rPr>
          <w:rFonts w:ascii="Times New Roman" w:eastAsia="Arial Unicode MS" w:hAnsi="Times New Roman"/>
          <w:color w:val="000000"/>
          <w:sz w:val="24"/>
          <w:szCs w:val="24"/>
        </w:rPr>
        <w:t>s</w:t>
      </w:r>
      <w:r w:rsidRPr="00A06751">
        <w:rPr>
          <w:rFonts w:ascii="Times New Roman" w:eastAsia="Arial Unicode MS" w:hAnsi="Times New Roman"/>
          <w:color w:val="000000"/>
          <w:sz w:val="24"/>
          <w:szCs w:val="24"/>
        </w:rPr>
        <w:t xml:space="preserve"> por ensaio imunoenzimático (</w:t>
      </w:r>
      <w:r w:rsidRPr="00CA4B75">
        <w:rPr>
          <w:rFonts w:ascii="Times New Roman" w:eastAsia="Arial Unicode MS" w:hAnsi="Times New Roman"/>
          <w:color w:val="000000"/>
          <w:sz w:val="24"/>
          <w:szCs w:val="24"/>
        </w:rPr>
        <w:t>Human/Mouse/Rat Phospho-GSK-3</w:t>
      </w:r>
      <w:r>
        <w:rPr>
          <w:rFonts w:ascii="Times New Roman" w:eastAsia="Arial Unicode MS" w:hAnsi="Times New Roman"/>
          <w:color w:val="000000"/>
          <w:sz w:val="24"/>
          <w:szCs w:val="24"/>
        </w:rPr>
        <w:t>β</w:t>
      </w:r>
      <w:r w:rsidRPr="00CA4B75">
        <w:rPr>
          <w:rFonts w:ascii="Times New Roman" w:eastAsia="Arial Unicode MS" w:hAnsi="Times New Roman"/>
          <w:color w:val="000000"/>
          <w:sz w:val="24"/>
          <w:szCs w:val="24"/>
        </w:rPr>
        <w:t xml:space="preserve"> (S9)</w:t>
      </w:r>
      <w:r>
        <w:rPr>
          <w:rFonts w:ascii="Times New Roman" w:eastAsia="Arial Unicode MS" w:hAnsi="Times New Roman"/>
          <w:color w:val="000000"/>
          <w:sz w:val="24"/>
          <w:szCs w:val="24"/>
        </w:rPr>
        <w:t xml:space="preserve"> </w:t>
      </w:r>
      <w:r w:rsidRPr="00A06751">
        <w:rPr>
          <w:rFonts w:ascii="Times New Roman" w:eastAsia="Arial Unicode MS" w:hAnsi="Times New Roman"/>
          <w:color w:val="000000"/>
          <w:sz w:val="24"/>
          <w:szCs w:val="24"/>
        </w:rPr>
        <w:t xml:space="preserve">ELISA; </w:t>
      </w:r>
      <w:r>
        <w:rPr>
          <w:rFonts w:ascii="Times New Roman" w:eastAsia="Arial Unicode MS" w:hAnsi="Times New Roman"/>
          <w:color w:val="000000"/>
          <w:sz w:val="24"/>
          <w:szCs w:val="24"/>
        </w:rPr>
        <w:t xml:space="preserve">R&amp;D Systems, </w:t>
      </w:r>
      <w:r w:rsidRPr="00A06751">
        <w:rPr>
          <w:rFonts w:ascii="Times New Roman" w:eastAsia="Arial Unicode MS" w:hAnsi="Times New Roman"/>
          <w:color w:val="000000"/>
          <w:sz w:val="24"/>
          <w:szCs w:val="24"/>
        </w:rPr>
        <w:t xml:space="preserve">USA) de acordo com as instruções do fabricante. Os resultados serão expressos como picograma </w:t>
      </w:r>
      <w:r>
        <w:rPr>
          <w:rFonts w:ascii="Times New Roman" w:eastAsia="Arial Unicode MS" w:hAnsi="Times New Roman"/>
          <w:color w:val="000000"/>
          <w:sz w:val="24"/>
          <w:szCs w:val="24"/>
        </w:rPr>
        <w:t>d</w:t>
      </w:r>
      <w:r w:rsidRPr="00A06751">
        <w:rPr>
          <w:rFonts w:ascii="Times New Roman" w:eastAsia="Arial Unicode MS" w:hAnsi="Times New Roman"/>
          <w:color w:val="000000"/>
          <w:sz w:val="24"/>
          <w:szCs w:val="24"/>
        </w:rPr>
        <w:t xml:space="preserve">e </w:t>
      </w:r>
      <w:r>
        <w:rPr>
          <w:rFonts w:ascii="Times New Roman" w:eastAsia="Arial Unicode MS" w:hAnsi="Times New Roman"/>
          <w:color w:val="000000"/>
          <w:sz w:val="24"/>
          <w:szCs w:val="24"/>
        </w:rPr>
        <w:t>GSK-3 beta</w:t>
      </w:r>
      <w:r w:rsidRPr="00A06751">
        <w:rPr>
          <w:rFonts w:ascii="Times New Roman" w:eastAsia="Arial Unicode MS" w:hAnsi="Times New Roman"/>
          <w:color w:val="000000"/>
          <w:sz w:val="24"/>
          <w:szCs w:val="24"/>
        </w:rPr>
        <w:t>/ mg de proteína total determinada pelo método de Lowry (1951).</w:t>
      </w:r>
    </w:p>
    <w:p w:rsidR="006F5677" w:rsidRPr="00C97347" w:rsidRDefault="006F5677" w:rsidP="006F5677">
      <w:pPr>
        <w:rPr>
          <w:rFonts w:ascii="Times New Roman" w:eastAsia="Times New Roman" w:hAnsi="Times New Roman" w:cs="Times New Roman"/>
          <w:i/>
          <w:sz w:val="24"/>
          <w:szCs w:val="24"/>
          <w:lang w:eastAsia="pt-BR"/>
        </w:rPr>
      </w:pPr>
      <w:r>
        <w:rPr>
          <w:rFonts w:ascii="Times New Roman" w:hAnsi="Times New Roman"/>
          <w:b/>
          <w:sz w:val="24"/>
          <w:szCs w:val="24"/>
        </w:rPr>
        <w:t xml:space="preserve">3.5.10 </w:t>
      </w:r>
      <w:r w:rsidRPr="00C97347">
        <w:rPr>
          <w:rFonts w:ascii="Times New Roman" w:hAnsi="Times New Roman" w:cs="Times New Roman"/>
          <w:b/>
          <w:sz w:val="24"/>
          <w:szCs w:val="24"/>
        </w:rPr>
        <w:t xml:space="preserve">Avaliação de alterações inflamatórias </w:t>
      </w:r>
    </w:p>
    <w:p w:rsidR="006F5677" w:rsidRPr="00E55DAD" w:rsidRDefault="006F5677" w:rsidP="006F5677">
      <w:pPr>
        <w:pStyle w:val="BodyTextIndent"/>
        <w:suppressAutoHyphens/>
        <w:autoSpaceDE w:val="0"/>
        <w:spacing w:line="360" w:lineRule="auto"/>
        <w:ind w:left="0" w:right="51" w:firstLine="709"/>
        <w:jc w:val="both"/>
        <w:rPr>
          <w:rFonts w:ascii="Times New Roman" w:eastAsia="Arial Unicode MS" w:hAnsi="Times New Roman"/>
          <w:color w:val="000000"/>
          <w:sz w:val="24"/>
          <w:szCs w:val="24"/>
        </w:rPr>
      </w:pPr>
      <w:r w:rsidRPr="00E55DAD">
        <w:rPr>
          <w:rFonts w:ascii="Times New Roman" w:eastAsia="Arial Unicode MS" w:hAnsi="Times New Roman"/>
          <w:color w:val="000000"/>
          <w:sz w:val="24"/>
          <w:szCs w:val="24"/>
        </w:rPr>
        <w:t>Os níveis da citocinas pró-inflamatórias, IL-1β, TNF</w:t>
      </w:r>
      <w:r>
        <w:rPr>
          <w:rFonts w:ascii="Times New Roman" w:eastAsia="Arial Unicode MS" w:hAnsi="Times New Roman" w:cs="Times New Roman"/>
          <w:color w:val="000000"/>
          <w:sz w:val="24"/>
          <w:szCs w:val="24"/>
        </w:rPr>
        <w:t>α</w:t>
      </w:r>
      <w:r w:rsidRPr="00E55DAD">
        <w:rPr>
          <w:rFonts w:ascii="Times New Roman" w:eastAsia="Arial Unicode MS" w:hAnsi="Times New Roman"/>
          <w:color w:val="000000"/>
          <w:sz w:val="24"/>
          <w:szCs w:val="24"/>
        </w:rPr>
        <w:t xml:space="preserve"> </w:t>
      </w:r>
      <w:r>
        <w:rPr>
          <w:rFonts w:ascii="Times New Roman" w:eastAsia="Arial Unicode MS" w:hAnsi="Times New Roman"/>
          <w:color w:val="000000"/>
          <w:sz w:val="24"/>
          <w:szCs w:val="24"/>
        </w:rPr>
        <w:t xml:space="preserve"> e citocina antiiflamtória IL10 e TGF</w:t>
      </w:r>
      <w:r>
        <w:rPr>
          <w:rFonts w:ascii="Times New Roman" w:eastAsia="Arial Unicode MS" w:hAnsi="Times New Roman" w:cs="Times New Roman"/>
          <w:color w:val="000000"/>
          <w:sz w:val="24"/>
          <w:szCs w:val="24"/>
        </w:rPr>
        <w:t>β</w:t>
      </w:r>
      <w:r>
        <w:rPr>
          <w:rFonts w:ascii="Times New Roman" w:eastAsia="Arial Unicode MS" w:hAnsi="Times New Roman"/>
          <w:color w:val="000000"/>
          <w:sz w:val="24"/>
          <w:szCs w:val="24"/>
        </w:rPr>
        <w:t xml:space="preserve"> </w:t>
      </w:r>
      <w:r w:rsidRPr="00E55DAD">
        <w:rPr>
          <w:rFonts w:ascii="Times New Roman" w:eastAsia="Arial Unicode MS" w:hAnsi="Times New Roman"/>
          <w:color w:val="000000"/>
          <w:sz w:val="24"/>
          <w:szCs w:val="24"/>
        </w:rPr>
        <w:t xml:space="preserve">serão determinados por técnica de ensaio imunossorvente ligado a enzima (Elisa) coulorimétricos de acordo com as instruções do fabricante R&amp;D systems. </w:t>
      </w:r>
    </w:p>
    <w:p w:rsidR="006F5677" w:rsidRDefault="006F5677" w:rsidP="006F5677">
      <w:pPr>
        <w:autoSpaceDE w:val="0"/>
        <w:spacing w:line="360" w:lineRule="auto"/>
        <w:ind w:right="51" w:firstLine="709"/>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A detecção do fator nuclear NFkB será realizada também por técnica de Elisa através de kit coulorimétrico adquirido da Merck Millipore (</w:t>
      </w:r>
      <w:r w:rsidRPr="00FF6027">
        <w:rPr>
          <w:rFonts w:ascii="Times New Roman" w:eastAsia="Arial Unicode MS" w:hAnsi="Times New Roman"/>
          <w:color w:val="000000"/>
          <w:sz w:val="24"/>
          <w:szCs w:val="24"/>
        </w:rPr>
        <w:t>NFκB p50/p65 EZ-TFA Transcription Factor Assay (Colorimetric)</w:t>
      </w:r>
      <w:r>
        <w:rPr>
          <w:rFonts w:ascii="Times New Roman" w:eastAsia="Arial Unicode MS" w:hAnsi="Times New Roman"/>
          <w:color w:val="000000"/>
          <w:sz w:val="24"/>
          <w:szCs w:val="24"/>
        </w:rPr>
        <w:t>). Vale salientar que este fator é importante na regulação de processos celulares e fisiológicos, tais como: crescimento celular, apoptose, resposta imune e inflamatória, dentre outros.</w:t>
      </w:r>
    </w:p>
    <w:p w:rsidR="006F5677" w:rsidRPr="003721EB" w:rsidRDefault="006F5677" w:rsidP="006F5677">
      <w:pPr>
        <w:pStyle w:val="Heading3"/>
        <w:rPr>
          <w:rFonts w:ascii="Times New Roman" w:hAnsi="Times New Roman" w:cs="Times New Roman"/>
          <w:color w:val="auto"/>
          <w:sz w:val="24"/>
          <w:szCs w:val="24"/>
        </w:rPr>
      </w:pPr>
      <w:bookmarkStart w:id="10" w:name="_Toc438102630"/>
      <w:r>
        <w:rPr>
          <w:rFonts w:ascii="Times New Roman" w:hAnsi="Times New Roman" w:cs="Times New Roman"/>
          <w:color w:val="auto"/>
          <w:sz w:val="24"/>
          <w:szCs w:val="24"/>
        </w:rPr>
        <w:t>3.6</w:t>
      </w:r>
      <w:r w:rsidRPr="003721EB">
        <w:rPr>
          <w:rFonts w:ascii="Times New Roman" w:hAnsi="Times New Roman" w:cs="Times New Roman"/>
          <w:color w:val="auto"/>
          <w:sz w:val="24"/>
          <w:szCs w:val="24"/>
        </w:rPr>
        <w:t xml:space="preserve"> Imunofluorescência </w:t>
      </w:r>
      <w:bookmarkEnd w:id="10"/>
    </w:p>
    <w:p w:rsidR="006F5677" w:rsidRPr="003721EB" w:rsidRDefault="006F5677" w:rsidP="006F5677">
      <w:pPr>
        <w:spacing w:line="360" w:lineRule="auto"/>
        <w:jc w:val="both"/>
        <w:rPr>
          <w:rFonts w:ascii="Times New Roman" w:hAnsi="Times New Roman" w:cs="Times New Roman"/>
          <w:b/>
          <w:bCs/>
          <w:sz w:val="24"/>
          <w:szCs w:val="24"/>
        </w:rPr>
      </w:pPr>
    </w:p>
    <w:p w:rsidR="006F5677" w:rsidRPr="003721EB" w:rsidRDefault="006F5677" w:rsidP="006F5677">
      <w:pPr>
        <w:spacing w:line="360" w:lineRule="auto"/>
        <w:ind w:firstLine="1134"/>
        <w:jc w:val="both"/>
        <w:rPr>
          <w:rFonts w:ascii="Times New Roman" w:hAnsi="Times New Roman" w:cs="Times New Roman"/>
          <w:sz w:val="24"/>
          <w:szCs w:val="24"/>
        </w:rPr>
      </w:pPr>
      <w:r w:rsidRPr="003721EB">
        <w:rPr>
          <w:rFonts w:ascii="Times New Roman" w:hAnsi="Times New Roman" w:cs="Times New Roman"/>
          <w:sz w:val="24"/>
          <w:szCs w:val="24"/>
        </w:rPr>
        <w:t xml:space="preserve">A imunofluorescência será realizada com a finalidade de obter dados quantitativos da marcação dupla de </w:t>
      </w:r>
      <w:r w:rsidRPr="003721EB">
        <w:rPr>
          <w:rFonts w:ascii="Times New Roman" w:hAnsi="Times New Roman" w:cs="Times New Roman"/>
          <w:bCs/>
          <w:sz w:val="24"/>
          <w:szCs w:val="24"/>
        </w:rPr>
        <w:t>GFAP e Fosfocreb,</w:t>
      </w:r>
      <w:r w:rsidRPr="00C240B7">
        <w:rPr>
          <w:rFonts w:ascii="Times New Roman" w:hAnsi="Times New Roman" w:cs="Times New Roman"/>
          <w:bCs/>
          <w:sz w:val="24"/>
          <w:szCs w:val="24"/>
        </w:rPr>
        <w:t xml:space="preserve"> </w:t>
      </w:r>
      <w:r w:rsidRPr="003721EB">
        <w:rPr>
          <w:rFonts w:ascii="Times New Roman" w:hAnsi="Times New Roman" w:cs="Times New Roman"/>
          <w:bCs/>
          <w:sz w:val="24"/>
          <w:szCs w:val="24"/>
        </w:rPr>
        <w:t>NFκB e NeuN no hipocampo.</w:t>
      </w:r>
    </w:p>
    <w:p w:rsidR="006F5677" w:rsidRPr="003721EB" w:rsidRDefault="006F5677" w:rsidP="006F5677">
      <w:pPr>
        <w:spacing w:line="360" w:lineRule="auto"/>
        <w:ind w:firstLine="1134"/>
        <w:jc w:val="both"/>
        <w:rPr>
          <w:rFonts w:ascii="Times New Roman" w:hAnsi="Times New Roman" w:cs="Times New Roman"/>
          <w:bCs/>
          <w:sz w:val="24"/>
          <w:szCs w:val="24"/>
        </w:rPr>
      </w:pPr>
      <w:r w:rsidRPr="003721EB">
        <w:rPr>
          <w:rFonts w:ascii="Times New Roman" w:hAnsi="Times New Roman" w:cs="Times New Roman"/>
          <w:sz w:val="24"/>
          <w:szCs w:val="24"/>
        </w:rPr>
        <w:t xml:space="preserve">Após a remoção da área cerebral, a mesma será isolada, separada e fixada em formol tamponado a 10% por 24 horas, seguidas de trocas de sacarose a 30% por 72 horas.  Os tecidos </w:t>
      </w:r>
      <w:r>
        <w:rPr>
          <w:rFonts w:ascii="Times New Roman" w:hAnsi="Times New Roman" w:cs="Times New Roman"/>
          <w:sz w:val="24"/>
          <w:szCs w:val="24"/>
        </w:rPr>
        <w:t>serão</w:t>
      </w:r>
      <w:r w:rsidRPr="003721EB">
        <w:rPr>
          <w:rFonts w:ascii="Times New Roman" w:hAnsi="Times New Roman" w:cs="Times New Roman"/>
          <w:sz w:val="24"/>
          <w:szCs w:val="24"/>
        </w:rPr>
        <w:t xml:space="preserve"> crioarmazenados em </w:t>
      </w:r>
      <w:r w:rsidRPr="00AB002B">
        <w:rPr>
          <w:rFonts w:ascii="Times New Roman" w:hAnsi="Times New Roman" w:cs="Times New Roman"/>
          <w:i/>
          <w:sz w:val="24"/>
          <w:szCs w:val="24"/>
        </w:rPr>
        <w:t>tissue tek</w:t>
      </w:r>
      <w:r w:rsidRPr="003721EB">
        <w:rPr>
          <w:rFonts w:ascii="Times New Roman" w:hAnsi="Times New Roman" w:cs="Times New Roman"/>
          <w:sz w:val="24"/>
          <w:szCs w:val="24"/>
        </w:rPr>
        <w:t xml:space="preserve"> e guardados </w:t>
      </w:r>
      <w:commentRangeStart w:id="11"/>
      <w:r w:rsidRPr="003721EB">
        <w:rPr>
          <w:rFonts w:ascii="Times New Roman" w:hAnsi="Times New Roman" w:cs="Times New Roman"/>
          <w:sz w:val="24"/>
          <w:szCs w:val="24"/>
        </w:rPr>
        <w:t>no</w:t>
      </w:r>
      <w:commentRangeEnd w:id="11"/>
      <w:r>
        <w:rPr>
          <w:rStyle w:val="CommentReference"/>
          <w:rFonts w:ascii="Calibri" w:eastAsia="Calibri" w:hAnsi="Calibri" w:cs="Times New Roman"/>
          <w:lang w:val="x-none" w:eastAsia="x-none"/>
        </w:rPr>
        <w:commentReference w:id="11"/>
      </w:r>
      <w:r>
        <w:rPr>
          <w:rFonts w:ascii="Times New Roman" w:hAnsi="Times New Roman" w:cs="Times New Roman"/>
          <w:sz w:val="24"/>
          <w:szCs w:val="24"/>
        </w:rPr>
        <w:t xml:space="preserve"> </w:t>
      </w:r>
      <w:r w:rsidRPr="003721EB">
        <w:rPr>
          <w:rFonts w:ascii="Times New Roman" w:hAnsi="Times New Roman" w:cs="Times New Roman"/>
          <w:sz w:val="24"/>
          <w:szCs w:val="24"/>
        </w:rPr>
        <w:t xml:space="preserve"> -80 C até o corte no micrótomo, obtendo-se espessuras de 4µm que </w:t>
      </w:r>
      <w:r>
        <w:rPr>
          <w:rFonts w:ascii="Times New Roman" w:hAnsi="Times New Roman" w:cs="Times New Roman"/>
          <w:sz w:val="24"/>
          <w:szCs w:val="24"/>
        </w:rPr>
        <w:t>serão</w:t>
      </w:r>
      <w:r w:rsidRPr="003721EB">
        <w:rPr>
          <w:rFonts w:ascii="Times New Roman" w:hAnsi="Times New Roman" w:cs="Times New Roman"/>
          <w:sz w:val="24"/>
          <w:szCs w:val="24"/>
        </w:rPr>
        <w:t xml:space="preserve"> recolhidos e aderidos em lâminas de vidro histológicas silanizadas.  Será realizada a recuperação antigênica, com a finalidade de expor os epítopos, onde as lâminas serão mergulhadas em tampão citrato (pH= 6,0) por 20 min no banho Maria à 99ºC. Em seguida, as lâminas serão lavadas duas vezes, três minutos cada, com PBS 1%. Na etapa seguinte, as lâminas serão lavadas três vezes com PBS por 5 minutos cada lavagem, e em seguida seá realizada a permeabilização por 10 min com PBS/0,2% triton-X-100. Na etapa seguinte, realizar</w:t>
      </w:r>
      <w:r>
        <w:rPr>
          <w:rFonts w:ascii="Times New Roman" w:hAnsi="Times New Roman" w:cs="Times New Roman"/>
          <w:sz w:val="24"/>
          <w:szCs w:val="24"/>
        </w:rPr>
        <w:t>-se-</w:t>
      </w:r>
      <w:r w:rsidRPr="003721EB">
        <w:rPr>
          <w:rFonts w:ascii="Times New Roman" w:hAnsi="Times New Roman" w:cs="Times New Roman"/>
          <w:sz w:val="24"/>
          <w:szCs w:val="24"/>
        </w:rPr>
        <w:t xml:space="preserve">á o bloqueio dos cortes para reduzir as marcações inespecíficas com solução de bloqueio (780μL de PBS/1% triton-X-100, 20μL de soro de cavalo e 200 μL BSA 5%). Após o bloqueio,  os cortes cerebrais serão incubados com os anticorpos primários anti-GFAP (Santa Cruz </w:t>
      </w:r>
      <w:r w:rsidRPr="003721EB">
        <w:rPr>
          <w:rFonts w:ascii="Times New Roman" w:hAnsi="Times New Roman" w:cs="Times New Roman"/>
          <w:i/>
          <w:sz w:val="24"/>
          <w:szCs w:val="24"/>
        </w:rPr>
        <w:t>Biotechnology</w:t>
      </w:r>
      <w:r w:rsidRPr="003721EB">
        <w:rPr>
          <w:rFonts w:ascii="Times New Roman" w:hAnsi="Times New Roman" w:cs="Times New Roman"/>
          <w:sz w:val="24"/>
          <w:szCs w:val="24"/>
        </w:rPr>
        <w:t xml:space="preserve">, SC-6170, 1:100), , anti-iNOS  (Santa Cruz </w:t>
      </w:r>
      <w:r w:rsidRPr="003721EB">
        <w:rPr>
          <w:rFonts w:ascii="Times New Roman" w:hAnsi="Times New Roman" w:cs="Times New Roman"/>
          <w:i/>
          <w:sz w:val="24"/>
          <w:szCs w:val="24"/>
        </w:rPr>
        <w:t>Biotechnology</w:t>
      </w:r>
      <w:r w:rsidRPr="003721EB">
        <w:rPr>
          <w:rFonts w:ascii="Times New Roman" w:hAnsi="Times New Roman" w:cs="Times New Roman"/>
          <w:sz w:val="24"/>
          <w:szCs w:val="24"/>
        </w:rPr>
        <w:t xml:space="preserve">, SC-8310, 1:100), anti-Iba-1  (Abcam, ab107159, 1:50), ou anti-NFκB NLS  (Santa Cruz </w:t>
      </w:r>
      <w:r w:rsidRPr="003721EB">
        <w:rPr>
          <w:rFonts w:ascii="Times New Roman" w:hAnsi="Times New Roman" w:cs="Times New Roman"/>
          <w:i/>
          <w:sz w:val="24"/>
          <w:szCs w:val="24"/>
        </w:rPr>
        <w:t>Biotechnology</w:t>
      </w:r>
      <w:r w:rsidRPr="003721EB">
        <w:rPr>
          <w:rFonts w:ascii="Times New Roman" w:hAnsi="Times New Roman" w:cs="Times New Roman"/>
          <w:sz w:val="24"/>
          <w:szCs w:val="24"/>
        </w:rPr>
        <w:t>, SC-114, 1:200)</w:t>
      </w:r>
      <w:r w:rsidRPr="003721EB">
        <w:rPr>
          <w:rFonts w:ascii="Times New Roman" w:hAnsi="Times New Roman" w:cs="Times New Roman"/>
          <w:bCs/>
          <w:sz w:val="24"/>
          <w:szCs w:val="24"/>
        </w:rPr>
        <w:t xml:space="preserve">, </w:t>
      </w:r>
      <w:r w:rsidRPr="003721EB">
        <w:rPr>
          <w:rFonts w:ascii="Times New Roman" w:hAnsi="Times New Roman" w:cs="Times New Roman"/>
          <w:sz w:val="24"/>
          <w:szCs w:val="24"/>
        </w:rPr>
        <w:t xml:space="preserve">diluídos em BSA 1%, </w:t>
      </w:r>
      <w:r w:rsidRPr="003721EB">
        <w:rPr>
          <w:rFonts w:ascii="Times New Roman" w:hAnsi="Times New Roman" w:cs="Times New Roman"/>
          <w:i/>
          <w:sz w:val="24"/>
          <w:szCs w:val="24"/>
        </w:rPr>
        <w:t>overnight</w:t>
      </w:r>
      <w:r w:rsidRPr="003721EB">
        <w:rPr>
          <w:rFonts w:ascii="Times New Roman" w:hAnsi="Times New Roman" w:cs="Times New Roman"/>
          <w:sz w:val="24"/>
          <w:szCs w:val="24"/>
        </w:rPr>
        <w:t xml:space="preserve"> a 4°C em câmara úmida para evitar o ressecamento dos cortes. </w:t>
      </w:r>
      <w:r w:rsidRPr="003721EB">
        <w:rPr>
          <w:rFonts w:ascii="Times New Roman" w:hAnsi="Times New Roman" w:cs="Times New Roman"/>
          <w:bCs/>
          <w:sz w:val="24"/>
          <w:szCs w:val="24"/>
        </w:rPr>
        <w:t xml:space="preserve">Para confecção dos controles negativos, os anticorpos primários </w:t>
      </w:r>
      <w:r>
        <w:rPr>
          <w:rFonts w:ascii="Times New Roman" w:hAnsi="Times New Roman" w:cs="Times New Roman"/>
          <w:bCs/>
          <w:sz w:val="24"/>
          <w:szCs w:val="24"/>
        </w:rPr>
        <w:t>serão</w:t>
      </w:r>
      <w:r w:rsidRPr="003721EB">
        <w:rPr>
          <w:rFonts w:ascii="Times New Roman" w:hAnsi="Times New Roman" w:cs="Times New Roman"/>
          <w:bCs/>
          <w:sz w:val="24"/>
          <w:szCs w:val="24"/>
        </w:rPr>
        <w:t xml:space="preserve"> omitidos. </w:t>
      </w:r>
      <w:r w:rsidRPr="003721EB">
        <w:rPr>
          <w:rFonts w:ascii="Times New Roman" w:hAnsi="Times New Roman" w:cs="Times New Roman"/>
          <w:sz w:val="24"/>
          <w:szCs w:val="24"/>
        </w:rPr>
        <w:t xml:space="preserve">Na etapa seguinte, será efetuado  a lavagem dos cortes com PBS por cinco minutos e será incubado com os anticorpos secundários Alexa fluor 488 donkey anti-rabbit (Invitrogen, A21206, 1:500), Alexa fluor 594 donkey anti-mouse  (Invitrogen, A21203, 1:400) e Alexa fluor 594 donkey anti-goat  (Invitrogen).  </w:t>
      </w:r>
      <w:r w:rsidRPr="003721EB">
        <w:rPr>
          <w:rFonts w:ascii="Times New Roman" w:hAnsi="Times New Roman" w:cs="Times New Roman"/>
          <w:bCs/>
          <w:sz w:val="24"/>
          <w:szCs w:val="24"/>
        </w:rPr>
        <w:t>Após a remoção do anticorpo secundário e lavagem com PBS por 4 vezes de 5 minutos cada, apli</w:t>
      </w:r>
      <w:r>
        <w:rPr>
          <w:rFonts w:ascii="Times New Roman" w:hAnsi="Times New Roman" w:cs="Times New Roman"/>
          <w:bCs/>
          <w:sz w:val="24"/>
          <w:szCs w:val="24"/>
        </w:rPr>
        <w:t>car</w:t>
      </w:r>
      <w:r w:rsidRPr="003721EB">
        <w:rPr>
          <w:rFonts w:ascii="Times New Roman" w:hAnsi="Times New Roman" w:cs="Times New Roman"/>
          <w:bCs/>
          <w:sz w:val="24"/>
          <w:szCs w:val="24"/>
        </w:rPr>
        <w:t>-se</w:t>
      </w:r>
      <w:r>
        <w:rPr>
          <w:rFonts w:ascii="Times New Roman" w:hAnsi="Times New Roman" w:cs="Times New Roman"/>
          <w:bCs/>
          <w:sz w:val="24"/>
          <w:szCs w:val="24"/>
        </w:rPr>
        <w:t>-á</w:t>
      </w:r>
      <w:r w:rsidRPr="003721EB">
        <w:rPr>
          <w:rFonts w:ascii="Times New Roman" w:hAnsi="Times New Roman" w:cs="Times New Roman"/>
          <w:bCs/>
          <w:sz w:val="24"/>
          <w:szCs w:val="24"/>
        </w:rPr>
        <w:t>, por 7 min, DAPI  (4, 6-diamidino-2-fenilindol, Invitrogen) para a marcação nuclear. Por fim, as lâminas serão lavadas com PBS por 4 vezes durante 5 min cada, secadas e  aplicado o Fluoromaut (DAKO) para inserir a lamínula.</w:t>
      </w:r>
    </w:p>
    <w:p w:rsidR="006F5677" w:rsidRDefault="006F5677" w:rsidP="006F5677">
      <w:pPr>
        <w:spacing w:line="360" w:lineRule="auto"/>
        <w:ind w:firstLine="1134"/>
        <w:jc w:val="both"/>
        <w:rPr>
          <w:rFonts w:ascii="Times New Roman" w:hAnsi="Times New Roman" w:cs="Times New Roman"/>
          <w:sz w:val="24"/>
          <w:szCs w:val="24"/>
        </w:rPr>
      </w:pPr>
      <w:r w:rsidRPr="003721EB">
        <w:rPr>
          <w:rFonts w:ascii="Times New Roman" w:hAnsi="Times New Roman" w:cs="Times New Roman"/>
          <w:bCs/>
          <w:sz w:val="24"/>
          <w:szCs w:val="24"/>
        </w:rPr>
        <w:t>As imagens serão adquiridas e quantificadas por meio de um microscópio Cytation ( USA) usando uma objetiva de 40x/NA 1,4 .</w:t>
      </w:r>
      <w:r w:rsidRPr="003721EB">
        <w:rPr>
          <w:rFonts w:ascii="Times New Roman" w:hAnsi="Times New Roman" w:cs="Times New Roman"/>
          <w:sz w:val="24"/>
          <w:szCs w:val="24"/>
        </w:rPr>
        <w:t xml:space="preserve"> </w:t>
      </w:r>
    </w:p>
    <w:p w:rsidR="006F5677" w:rsidRPr="003721EB" w:rsidRDefault="006F5677" w:rsidP="006F5677">
      <w:pPr>
        <w:spacing w:line="360" w:lineRule="auto"/>
        <w:ind w:firstLine="1134"/>
        <w:jc w:val="both"/>
        <w:rPr>
          <w:rFonts w:ascii="Times New Roman" w:hAnsi="Times New Roman" w:cs="Times New Roman"/>
          <w:bCs/>
          <w:sz w:val="24"/>
          <w:szCs w:val="24"/>
        </w:rPr>
      </w:pPr>
    </w:p>
    <w:p w:rsidR="006F5677" w:rsidRPr="003721EB" w:rsidRDefault="006F5677" w:rsidP="006F5677">
      <w:pPr>
        <w:rPr>
          <w:rFonts w:ascii="Times New Roman" w:hAnsi="Times New Roman" w:cs="Times New Roman"/>
          <w:sz w:val="24"/>
          <w:szCs w:val="24"/>
        </w:rPr>
      </w:pPr>
    </w:p>
    <w:p w:rsidR="006F5677" w:rsidRPr="003721EB" w:rsidRDefault="006F5677" w:rsidP="006F5677">
      <w:pPr>
        <w:pStyle w:val="Heading3"/>
        <w:rPr>
          <w:rFonts w:ascii="Times New Roman" w:hAnsi="Times New Roman" w:cs="Times New Roman"/>
          <w:color w:val="auto"/>
          <w:sz w:val="24"/>
          <w:szCs w:val="24"/>
        </w:rPr>
      </w:pPr>
      <w:bookmarkStart w:id="12" w:name="_Toc438102635"/>
      <w:r>
        <w:rPr>
          <w:rFonts w:ascii="Times New Roman" w:hAnsi="Times New Roman" w:cs="Times New Roman"/>
          <w:color w:val="auto"/>
          <w:sz w:val="24"/>
          <w:szCs w:val="24"/>
        </w:rPr>
        <w:t xml:space="preserve">3.7 </w:t>
      </w:r>
      <w:r w:rsidRPr="003721EB">
        <w:rPr>
          <w:rFonts w:ascii="Times New Roman" w:hAnsi="Times New Roman" w:cs="Times New Roman"/>
          <w:color w:val="auto"/>
          <w:sz w:val="24"/>
          <w:szCs w:val="24"/>
        </w:rPr>
        <w:t xml:space="preserve"> Expressão Gênica de  iNOS </w:t>
      </w:r>
      <w:r>
        <w:rPr>
          <w:rFonts w:ascii="Times New Roman" w:hAnsi="Times New Roman" w:cs="Times New Roman"/>
          <w:color w:val="auto"/>
          <w:sz w:val="24"/>
          <w:szCs w:val="24"/>
        </w:rPr>
        <w:t xml:space="preserve"> e AchE </w:t>
      </w:r>
      <w:r w:rsidRPr="003721EB">
        <w:rPr>
          <w:rFonts w:ascii="Times New Roman" w:hAnsi="Times New Roman" w:cs="Times New Roman"/>
          <w:color w:val="auto"/>
          <w:sz w:val="24"/>
          <w:szCs w:val="24"/>
        </w:rPr>
        <w:t>por qPCR.</w:t>
      </w:r>
      <w:bookmarkEnd w:id="12"/>
    </w:p>
    <w:p w:rsidR="006F5677" w:rsidRPr="003721EB" w:rsidRDefault="006F5677" w:rsidP="006F5677">
      <w:pPr>
        <w:spacing w:line="360" w:lineRule="auto"/>
        <w:jc w:val="both"/>
        <w:rPr>
          <w:rFonts w:ascii="Times New Roman" w:hAnsi="Times New Roman" w:cs="Times New Roman"/>
          <w:b/>
          <w:sz w:val="24"/>
          <w:szCs w:val="24"/>
        </w:rPr>
      </w:pPr>
    </w:p>
    <w:p w:rsidR="006F5677" w:rsidRPr="003721EB" w:rsidRDefault="006F5677" w:rsidP="006F5677">
      <w:pPr>
        <w:pStyle w:val="Heading3"/>
        <w:rPr>
          <w:rFonts w:ascii="Times New Roman" w:hAnsi="Times New Roman" w:cs="Times New Roman"/>
          <w:color w:val="auto"/>
          <w:sz w:val="24"/>
          <w:szCs w:val="24"/>
        </w:rPr>
      </w:pPr>
      <w:bookmarkStart w:id="13" w:name="_Toc438102636"/>
      <w:r>
        <w:rPr>
          <w:rFonts w:ascii="Times New Roman" w:hAnsi="Times New Roman" w:cs="Times New Roman"/>
          <w:color w:val="auto"/>
          <w:sz w:val="24"/>
          <w:szCs w:val="24"/>
        </w:rPr>
        <w:t>3.7.</w:t>
      </w:r>
      <w:r w:rsidRPr="003721EB">
        <w:rPr>
          <w:rFonts w:ascii="Times New Roman" w:hAnsi="Times New Roman" w:cs="Times New Roman"/>
          <w:color w:val="auto"/>
          <w:sz w:val="24"/>
          <w:szCs w:val="24"/>
        </w:rPr>
        <w:t>1 Preparação das amostras</w:t>
      </w:r>
      <w:bookmarkEnd w:id="13"/>
      <w:r w:rsidRPr="003721EB">
        <w:rPr>
          <w:rFonts w:ascii="Times New Roman" w:hAnsi="Times New Roman" w:cs="Times New Roman"/>
          <w:color w:val="auto"/>
          <w:sz w:val="24"/>
          <w:szCs w:val="24"/>
        </w:rPr>
        <w:t xml:space="preserve"> </w:t>
      </w:r>
    </w:p>
    <w:p w:rsidR="006F5677" w:rsidRPr="003721EB" w:rsidRDefault="006F5677" w:rsidP="006F5677">
      <w:pPr>
        <w:rPr>
          <w:rFonts w:ascii="Times New Roman" w:hAnsi="Times New Roman" w:cs="Times New Roman"/>
          <w:sz w:val="24"/>
          <w:szCs w:val="24"/>
        </w:rPr>
      </w:pPr>
    </w:p>
    <w:p w:rsidR="006F5677" w:rsidRPr="003721EB" w:rsidRDefault="006F5677" w:rsidP="006F5677">
      <w:pPr>
        <w:spacing w:line="360" w:lineRule="auto"/>
        <w:ind w:firstLine="1134"/>
        <w:jc w:val="both"/>
        <w:rPr>
          <w:rFonts w:ascii="Times New Roman" w:hAnsi="Times New Roman" w:cs="Times New Roman"/>
          <w:sz w:val="24"/>
          <w:szCs w:val="24"/>
        </w:rPr>
      </w:pPr>
      <w:r w:rsidRPr="003721EB">
        <w:rPr>
          <w:rFonts w:ascii="Times New Roman" w:hAnsi="Times New Roman" w:cs="Times New Roman"/>
          <w:sz w:val="24"/>
          <w:szCs w:val="24"/>
        </w:rPr>
        <w:t xml:space="preserve">Os fragmentos de hipocampo dos animais </w:t>
      </w:r>
      <w:r>
        <w:rPr>
          <w:rFonts w:ascii="Times New Roman" w:hAnsi="Times New Roman" w:cs="Times New Roman"/>
          <w:sz w:val="24"/>
          <w:szCs w:val="24"/>
        </w:rPr>
        <w:t>serão</w:t>
      </w:r>
      <w:r w:rsidRPr="003721EB">
        <w:rPr>
          <w:rFonts w:ascii="Times New Roman" w:hAnsi="Times New Roman" w:cs="Times New Roman"/>
          <w:sz w:val="24"/>
          <w:szCs w:val="24"/>
        </w:rPr>
        <w:t xml:space="preserve"> retirados e macerados em nitrogênio líquido. Posteriormente, os fragmentos macerados </w:t>
      </w:r>
      <w:r>
        <w:rPr>
          <w:rFonts w:ascii="Times New Roman" w:hAnsi="Times New Roman" w:cs="Times New Roman"/>
          <w:sz w:val="24"/>
          <w:szCs w:val="24"/>
        </w:rPr>
        <w:t>serão</w:t>
      </w:r>
      <w:r w:rsidRPr="003721EB">
        <w:rPr>
          <w:rFonts w:ascii="Times New Roman" w:hAnsi="Times New Roman" w:cs="Times New Roman"/>
          <w:sz w:val="24"/>
          <w:szCs w:val="24"/>
        </w:rPr>
        <w:t xml:space="preserve"> adicionados em microtubo com 100μL de tampão de lise (Promega, EUA). Em seguida, </w:t>
      </w:r>
      <w:r>
        <w:rPr>
          <w:rFonts w:ascii="Times New Roman" w:hAnsi="Times New Roman" w:cs="Times New Roman"/>
          <w:sz w:val="24"/>
          <w:szCs w:val="24"/>
        </w:rPr>
        <w:t>serão</w:t>
      </w:r>
      <w:r w:rsidRPr="003721EB">
        <w:rPr>
          <w:rFonts w:ascii="Times New Roman" w:hAnsi="Times New Roman" w:cs="Times New Roman"/>
          <w:sz w:val="24"/>
          <w:szCs w:val="24"/>
        </w:rPr>
        <w:t xml:space="preserve"> armazenados no freezer a -80ºC até sua utilização para extração do RNA.</w:t>
      </w:r>
    </w:p>
    <w:p w:rsidR="006F5677" w:rsidRPr="003721EB" w:rsidRDefault="006F5677" w:rsidP="006F5677">
      <w:pPr>
        <w:pStyle w:val="Heading2"/>
        <w:rPr>
          <w:rFonts w:ascii="Times New Roman" w:hAnsi="Times New Roman" w:cs="Times New Roman"/>
          <w:color w:val="auto"/>
          <w:sz w:val="24"/>
          <w:szCs w:val="24"/>
        </w:rPr>
      </w:pPr>
    </w:p>
    <w:p w:rsidR="006F5677" w:rsidRPr="003721EB" w:rsidRDefault="006F5677" w:rsidP="006F5677">
      <w:pPr>
        <w:pStyle w:val="Heading3"/>
        <w:rPr>
          <w:rFonts w:ascii="Times New Roman" w:hAnsi="Times New Roman" w:cs="Times New Roman"/>
          <w:color w:val="auto"/>
          <w:sz w:val="24"/>
          <w:szCs w:val="24"/>
        </w:rPr>
      </w:pPr>
      <w:bookmarkStart w:id="14" w:name="_Toc438102637"/>
      <w:r>
        <w:rPr>
          <w:rFonts w:ascii="Times New Roman" w:hAnsi="Times New Roman" w:cs="Times New Roman"/>
          <w:color w:val="auto"/>
          <w:sz w:val="24"/>
          <w:szCs w:val="24"/>
        </w:rPr>
        <w:t>3.7.2</w:t>
      </w:r>
      <w:r w:rsidRPr="003721EB">
        <w:rPr>
          <w:rFonts w:ascii="Times New Roman" w:hAnsi="Times New Roman" w:cs="Times New Roman"/>
          <w:color w:val="auto"/>
          <w:sz w:val="24"/>
          <w:szCs w:val="24"/>
        </w:rPr>
        <w:t xml:space="preserve"> Extração do RNA</w:t>
      </w:r>
      <w:bookmarkEnd w:id="14"/>
      <w:r w:rsidRPr="003721EB">
        <w:rPr>
          <w:rFonts w:ascii="Times New Roman" w:hAnsi="Times New Roman" w:cs="Times New Roman"/>
          <w:color w:val="auto"/>
          <w:sz w:val="24"/>
          <w:szCs w:val="24"/>
        </w:rPr>
        <w:t xml:space="preserve"> </w:t>
      </w:r>
    </w:p>
    <w:p w:rsidR="006F5677" w:rsidRPr="003721EB" w:rsidRDefault="006F5677" w:rsidP="006F5677">
      <w:pPr>
        <w:pStyle w:val="Heading2"/>
        <w:rPr>
          <w:rFonts w:ascii="Times New Roman" w:hAnsi="Times New Roman" w:cs="Times New Roman"/>
          <w:color w:val="auto"/>
          <w:sz w:val="24"/>
          <w:szCs w:val="24"/>
        </w:rPr>
      </w:pPr>
    </w:p>
    <w:p w:rsidR="006F5677" w:rsidRPr="003721EB" w:rsidRDefault="006F5677" w:rsidP="006F5677">
      <w:pPr>
        <w:pStyle w:val="NormalWeb"/>
        <w:spacing w:before="0" w:after="0" w:line="360" w:lineRule="auto"/>
        <w:ind w:firstLine="1134"/>
        <w:jc w:val="both"/>
        <w:rPr>
          <w:lang w:eastAsia="pt-BR"/>
        </w:rPr>
      </w:pPr>
      <w:r w:rsidRPr="003721EB">
        <w:t xml:space="preserve">O RNA total de cada amostra será isolado usando kit de extração de RNA (Promega). Resumidamente, as amostras com tampão de lise </w:t>
      </w:r>
      <w:r>
        <w:t>serão</w:t>
      </w:r>
      <w:r w:rsidRPr="003721EB">
        <w:t xml:space="preserve"> misturadas cinco vezes por inversão. Será adicionado às amostras 350 μL de tampão de diluição do RNA, sendo homogeneizadas quatro vezes por inversão. Em seguida, as amostras </w:t>
      </w:r>
      <w:r w:rsidRPr="003721EB">
        <w:rPr>
          <w:lang w:eastAsia="pt-BR"/>
        </w:rPr>
        <w:t>serão aquecidas por três minutos a 70°C, com o objetivo de romper as ligações dos ácidos nucléicos, e centrifugadas por 10 min. O sobrenadante será transferido para um microtubo. Adicion</w:t>
      </w:r>
      <w:r>
        <w:rPr>
          <w:lang w:eastAsia="pt-BR"/>
        </w:rPr>
        <w:t>ar</w:t>
      </w:r>
      <w:r w:rsidRPr="003721EB">
        <w:rPr>
          <w:lang w:eastAsia="pt-BR"/>
        </w:rPr>
        <w:t>-se</w:t>
      </w:r>
      <w:r>
        <w:rPr>
          <w:lang w:eastAsia="pt-BR"/>
        </w:rPr>
        <w:t>-á</w:t>
      </w:r>
      <w:r w:rsidRPr="003721EB">
        <w:rPr>
          <w:lang w:eastAsia="pt-BR"/>
        </w:rPr>
        <w:t xml:space="preserve"> 200 μL de etanol a 95%. Na fase seguinte, a mistura será transferida para </w:t>
      </w:r>
      <w:r w:rsidRPr="003721EB">
        <w:rPr>
          <w:i/>
          <w:lang w:eastAsia="pt-BR"/>
        </w:rPr>
        <w:t>spin basket</w:t>
      </w:r>
      <w:r w:rsidRPr="003721EB">
        <w:rPr>
          <w:lang w:eastAsia="pt-BR"/>
        </w:rPr>
        <w:t xml:space="preserve"> acoplado a um microtubo coletor de 2 mL e centrifugado a 11200 RPM por um minuto. Adicion</w:t>
      </w:r>
      <w:r>
        <w:rPr>
          <w:lang w:eastAsia="pt-BR"/>
        </w:rPr>
        <w:t>ar</w:t>
      </w:r>
      <w:r w:rsidRPr="003721EB">
        <w:rPr>
          <w:lang w:eastAsia="pt-BR"/>
        </w:rPr>
        <w:t>-se</w:t>
      </w:r>
      <w:r>
        <w:rPr>
          <w:lang w:eastAsia="pt-BR"/>
        </w:rPr>
        <w:t>-á</w:t>
      </w:r>
      <w:r w:rsidRPr="003721EB">
        <w:rPr>
          <w:lang w:eastAsia="pt-BR"/>
        </w:rPr>
        <w:t xml:space="preserve"> 600 μL de solução de lavagem e em seguida os tubos </w:t>
      </w:r>
      <w:r>
        <w:rPr>
          <w:lang w:eastAsia="pt-BR"/>
        </w:rPr>
        <w:t>serão</w:t>
      </w:r>
      <w:r w:rsidRPr="003721EB">
        <w:rPr>
          <w:lang w:eastAsia="pt-BR"/>
        </w:rPr>
        <w:t xml:space="preserve"> centrifugados por 11200 RPM por um minuto. Na etapa seguinte, as amostras serão tratadas com DNase para reduzir a contaminação com o DNA, sendo incubadas em temperatura ambiente por 15 min. Decorrido este tempo,  200 μL de DNase </w:t>
      </w:r>
      <w:r w:rsidRPr="003721EB">
        <w:rPr>
          <w:i/>
          <w:lang w:eastAsia="pt-BR"/>
        </w:rPr>
        <w:t>stop solution</w:t>
      </w:r>
      <w:r w:rsidRPr="003721EB">
        <w:rPr>
          <w:lang w:eastAsia="pt-BR"/>
        </w:rPr>
        <w:t xml:space="preserve"> serão adicionados e  as amostras </w:t>
      </w:r>
      <w:r>
        <w:rPr>
          <w:lang w:eastAsia="pt-BR"/>
        </w:rPr>
        <w:t>serão</w:t>
      </w:r>
      <w:r w:rsidRPr="003721EB">
        <w:rPr>
          <w:lang w:eastAsia="pt-BR"/>
        </w:rPr>
        <w:t xml:space="preserve"> centrifugadas por 1 min a 11200 RPM. Logo em seguida, será inserido tampão de lavagem e as amostras serão centrifugadas, conforme relatado anteriormente. Será adicionado 250 μL de tampão de lavagem seguida de centrifugação por 2 min em 11200 RPM. Na etapa seguinte, o </w:t>
      </w:r>
      <w:r w:rsidRPr="003721EB">
        <w:rPr>
          <w:i/>
          <w:lang w:eastAsia="pt-BR"/>
        </w:rPr>
        <w:t>spin</w:t>
      </w:r>
      <w:r w:rsidRPr="003721EB">
        <w:rPr>
          <w:lang w:eastAsia="pt-BR"/>
        </w:rPr>
        <w:t xml:space="preserve"> será inserido em novo microtubo de 1,5 mL, 40 μL de H</w:t>
      </w:r>
      <w:r w:rsidRPr="003721EB">
        <w:rPr>
          <w:vertAlign w:val="subscript"/>
          <w:lang w:eastAsia="pt-BR"/>
        </w:rPr>
        <w:t>2</w:t>
      </w:r>
      <w:r w:rsidRPr="003721EB">
        <w:rPr>
          <w:lang w:eastAsia="pt-BR"/>
        </w:rPr>
        <w:t xml:space="preserve">O livre de nuclease </w:t>
      </w:r>
      <w:r>
        <w:rPr>
          <w:lang w:eastAsia="pt-BR"/>
        </w:rPr>
        <w:t>serão</w:t>
      </w:r>
      <w:r w:rsidRPr="003721EB">
        <w:rPr>
          <w:lang w:eastAsia="pt-BR"/>
        </w:rPr>
        <w:t xml:space="preserve"> adicionados e os microtubos </w:t>
      </w:r>
      <w:r>
        <w:rPr>
          <w:lang w:eastAsia="pt-BR"/>
        </w:rPr>
        <w:t>serão</w:t>
      </w:r>
      <w:r w:rsidRPr="003721EB">
        <w:rPr>
          <w:lang w:eastAsia="pt-BR"/>
        </w:rPr>
        <w:t xml:space="preserve"> centrifugados por 1 minuto. Por fim, o </w:t>
      </w:r>
      <w:r w:rsidRPr="003721EB">
        <w:rPr>
          <w:i/>
          <w:lang w:eastAsia="pt-BR"/>
        </w:rPr>
        <w:t>spin basket</w:t>
      </w:r>
      <w:r w:rsidRPr="003721EB">
        <w:rPr>
          <w:lang w:eastAsia="pt-BR"/>
        </w:rPr>
        <w:t xml:space="preserve"> será descartado e o RNA será extraído e armazenado no freezer -70°C.</w:t>
      </w:r>
    </w:p>
    <w:p w:rsidR="006F5677" w:rsidRDefault="006F5677" w:rsidP="006F5677">
      <w:pPr>
        <w:spacing w:line="360" w:lineRule="auto"/>
        <w:ind w:firstLine="1134"/>
        <w:jc w:val="both"/>
        <w:rPr>
          <w:rFonts w:ascii="Times New Roman" w:hAnsi="Times New Roman" w:cs="Times New Roman"/>
          <w:sz w:val="24"/>
          <w:szCs w:val="24"/>
          <w:lang w:eastAsia="pt-BR"/>
        </w:rPr>
      </w:pPr>
      <w:r w:rsidRPr="003721EB">
        <w:rPr>
          <w:rFonts w:ascii="Times New Roman" w:hAnsi="Times New Roman" w:cs="Times New Roman"/>
          <w:sz w:val="24"/>
          <w:szCs w:val="24"/>
          <w:lang w:eastAsia="pt-BR"/>
        </w:rPr>
        <w:t>Após a extração do RNA de cada amostra, será efetuado a sua quantificação, com 1μL de RNA de cada amostra, utilizando Nanodrop (Thermo Fisher Scientific, EUA). Concomitante a dosagem em ng/μL, realiz</w:t>
      </w:r>
      <w:r>
        <w:rPr>
          <w:rFonts w:ascii="Times New Roman" w:hAnsi="Times New Roman" w:cs="Times New Roman"/>
          <w:sz w:val="24"/>
          <w:szCs w:val="24"/>
          <w:lang w:eastAsia="pt-BR"/>
        </w:rPr>
        <w:t>ar</w:t>
      </w:r>
      <w:r w:rsidRPr="003721EB">
        <w:rPr>
          <w:rFonts w:ascii="Times New Roman" w:hAnsi="Times New Roman" w:cs="Times New Roman"/>
          <w:sz w:val="24"/>
          <w:szCs w:val="24"/>
          <w:lang w:eastAsia="pt-BR"/>
        </w:rPr>
        <w:t>-se</w:t>
      </w:r>
      <w:r>
        <w:rPr>
          <w:rFonts w:ascii="Times New Roman" w:hAnsi="Times New Roman" w:cs="Times New Roman"/>
          <w:sz w:val="24"/>
          <w:szCs w:val="24"/>
          <w:lang w:eastAsia="pt-BR"/>
        </w:rPr>
        <w:t>-á</w:t>
      </w:r>
      <w:r w:rsidRPr="003721EB">
        <w:rPr>
          <w:rFonts w:ascii="Times New Roman" w:hAnsi="Times New Roman" w:cs="Times New Roman"/>
          <w:sz w:val="24"/>
          <w:szCs w:val="24"/>
          <w:lang w:eastAsia="pt-BR"/>
        </w:rPr>
        <w:t xml:space="preserve"> a avaliação da qualidade do RNA extraído, a qual será obtida por meio da relação 260/280, fornecida pelo programa relacionado ao aparelho. A avaliação da quantidade de RNA presente em cada amostra é de extrema importância para a obtenção da quantidade de amostra adequada para realização da próxima etapa, a saber: síntese do ácido </w:t>
      </w:r>
      <w:r w:rsidRPr="000A438B">
        <w:rPr>
          <w:rFonts w:ascii="Times New Roman" w:hAnsi="Times New Roman" w:cs="Times New Roman"/>
          <w:sz w:val="24"/>
          <w:szCs w:val="24"/>
          <w:lang w:eastAsia="pt-BR"/>
        </w:rPr>
        <w:t>desoxirribonucléico complementar (cDNA).</w:t>
      </w:r>
    </w:p>
    <w:p w:rsidR="006F5677" w:rsidRDefault="006F5677" w:rsidP="006F5677">
      <w:pPr>
        <w:spacing w:line="360" w:lineRule="auto"/>
        <w:ind w:firstLine="1134"/>
        <w:jc w:val="both"/>
        <w:rPr>
          <w:rFonts w:ascii="Times New Roman" w:hAnsi="Times New Roman" w:cs="Times New Roman"/>
          <w:sz w:val="24"/>
          <w:szCs w:val="24"/>
          <w:lang w:eastAsia="pt-BR"/>
        </w:rPr>
      </w:pPr>
    </w:p>
    <w:p w:rsidR="006F5677" w:rsidRPr="000A438B" w:rsidRDefault="006F5677" w:rsidP="006F5677">
      <w:pPr>
        <w:spacing w:line="360" w:lineRule="auto"/>
        <w:ind w:firstLine="1134"/>
        <w:jc w:val="both"/>
        <w:rPr>
          <w:rFonts w:ascii="Times New Roman" w:hAnsi="Times New Roman" w:cs="Times New Roman"/>
          <w:sz w:val="24"/>
          <w:szCs w:val="24"/>
          <w:lang w:eastAsia="pt-BR"/>
        </w:rPr>
      </w:pPr>
    </w:p>
    <w:p w:rsidR="006F5677" w:rsidRPr="000A438B" w:rsidRDefault="006F5677" w:rsidP="006F5677">
      <w:pPr>
        <w:spacing w:line="360" w:lineRule="auto"/>
        <w:rPr>
          <w:rFonts w:ascii="Times New Roman" w:hAnsi="Times New Roman" w:cs="Times New Roman"/>
          <w:b/>
          <w:spacing w:val="1"/>
          <w:sz w:val="24"/>
          <w:szCs w:val="24"/>
        </w:rPr>
      </w:pPr>
    </w:p>
    <w:p w:rsidR="006F5677" w:rsidRPr="000A438B" w:rsidRDefault="006F5677" w:rsidP="006F5677">
      <w:pPr>
        <w:pStyle w:val="Heading3"/>
        <w:rPr>
          <w:rFonts w:ascii="Times New Roman" w:hAnsi="Times New Roman" w:cs="Times New Roman"/>
          <w:color w:val="auto"/>
          <w:sz w:val="24"/>
          <w:szCs w:val="24"/>
        </w:rPr>
      </w:pPr>
      <w:bookmarkStart w:id="15" w:name="_Toc438102638"/>
      <w:r>
        <w:rPr>
          <w:rFonts w:ascii="Times New Roman" w:hAnsi="Times New Roman" w:cs="Times New Roman"/>
          <w:color w:val="auto"/>
          <w:sz w:val="24"/>
          <w:szCs w:val="24"/>
        </w:rPr>
        <w:t>3.7.3</w:t>
      </w:r>
      <w:r w:rsidRPr="000A438B">
        <w:rPr>
          <w:rFonts w:ascii="Times New Roman" w:hAnsi="Times New Roman" w:cs="Times New Roman"/>
          <w:color w:val="auto"/>
          <w:sz w:val="24"/>
          <w:szCs w:val="24"/>
        </w:rPr>
        <w:t xml:space="preserve"> Síntese do cDNA</w:t>
      </w:r>
      <w:bookmarkEnd w:id="15"/>
    </w:p>
    <w:p w:rsidR="006F5677" w:rsidRPr="000A438B" w:rsidRDefault="006F5677" w:rsidP="006F5677">
      <w:pPr>
        <w:spacing w:line="360" w:lineRule="auto"/>
        <w:ind w:firstLine="720"/>
        <w:jc w:val="both"/>
        <w:rPr>
          <w:rFonts w:ascii="Times New Roman" w:hAnsi="Times New Roman" w:cs="Times New Roman"/>
          <w:sz w:val="24"/>
          <w:szCs w:val="24"/>
          <w:lang w:eastAsia="pt-BR"/>
        </w:rPr>
      </w:pPr>
    </w:p>
    <w:p w:rsidR="006F5677" w:rsidRPr="000A438B" w:rsidRDefault="006F5677" w:rsidP="006F5677">
      <w:pPr>
        <w:spacing w:line="360" w:lineRule="auto"/>
        <w:ind w:firstLine="1134"/>
        <w:jc w:val="both"/>
        <w:rPr>
          <w:rFonts w:ascii="Times New Roman" w:hAnsi="Times New Roman" w:cs="Times New Roman"/>
          <w:sz w:val="24"/>
          <w:szCs w:val="24"/>
        </w:rPr>
      </w:pPr>
      <w:r w:rsidRPr="000A438B">
        <w:rPr>
          <w:rFonts w:ascii="Times New Roman" w:hAnsi="Times New Roman" w:cs="Times New Roman"/>
          <w:sz w:val="24"/>
          <w:szCs w:val="24"/>
        </w:rPr>
        <w:t xml:space="preserve">O cDNA será sintetizado de acordo com o High capacity cDNA Synthesis Kit (Invitrogen, USA). O volume final de cada amostra </w:t>
      </w:r>
      <w:r>
        <w:rPr>
          <w:rFonts w:ascii="Times New Roman" w:hAnsi="Times New Roman" w:cs="Times New Roman"/>
          <w:sz w:val="24"/>
          <w:szCs w:val="24"/>
        </w:rPr>
        <w:t>será</w:t>
      </w:r>
      <w:r w:rsidRPr="000A438B">
        <w:rPr>
          <w:rFonts w:ascii="Times New Roman" w:hAnsi="Times New Roman" w:cs="Times New Roman"/>
          <w:sz w:val="24"/>
          <w:szCs w:val="24"/>
        </w:rPr>
        <w:t xml:space="preserve"> de 20μL: 2 µL do reagente 10x tampão da enzima; 0,8 µL de oligonucleotídeos; 2 µL de primer; 1 µL da enzima transcriptase reversa; 1ng de RNA, onde o volume utilizado em µL será dependente da concentração inicial extraída; H</w:t>
      </w:r>
      <w:r w:rsidRPr="000A438B">
        <w:rPr>
          <w:rFonts w:ascii="Times New Roman" w:hAnsi="Times New Roman" w:cs="Times New Roman"/>
          <w:sz w:val="24"/>
          <w:szCs w:val="24"/>
          <w:vertAlign w:val="subscript"/>
        </w:rPr>
        <w:t>2</w:t>
      </w:r>
      <w:r w:rsidRPr="000A438B">
        <w:rPr>
          <w:rFonts w:ascii="Times New Roman" w:hAnsi="Times New Roman" w:cs="Times New Roman"/>
          <w:sz w:val="24"/>
          <w:szCs w:val="24"/>
        </w:rPr>
        <w:t xml:space="preserve">O de nucleases para completar 20 µL. O protocolo da reação </w:t>
      </w:r>
      <w:r>
        <w:rPr>
          <w:rFonts w:ascii="Times New Roman" w:hAnsi="Times New Roman" w:cs="Times New Roman"/>
          <w:sz w:val="24"/>
          <w:szCs w:val="24"/>
        </w:rPr>
        <w:t>será</w:t>
      </w:r>
      <w:r w:rsidRPr="000A438B">
        <w:rPr>
          <w:rFonts w:ascii="Times New Roman" w:hAnsi="Times New Roman" w:cs="Times New Roman"/>
          <w:sz w:val="24"/>
          <w:szCs w:val="24"/>
        </w:rPr>
        <w:t xml:space="preserve"> realizado </w:t>
      </w:r>
      <w:r>
        <w:rPr>
          <w:rFonts w:ascii="Times New Roman" w:hAnsi="Times New Roman" w:cs="Times New Roman"/>
          <w:sz w:val="24"/>
          <w:szCs w:val="24"/>
        </w:rPr>
        <w:t>a</w:t>
      </w:r>
      <w:r w:rsidRPr="000A438B">
        <w:rPr>
          <w:rFonts w:ascii="Times New Roman" w:hAnsi="Times New Roman" w:cs="Times New Roman"/>
          <w:sz w:val="24"/>
          <w:szCs w:val="24"/>
        </w:rPr>
        <w:t xml:space="preserve"> 25º C por 10 min, 37º C por 120 min, 85º C por 5 min. O cDNA será armazenado em freezer a -20º C até a sua utilização no qPCR.</w:t>
      </w:r>
    </w:p>
    <w:p w:rsidR="006F5677" w:rsidRPr="000A438B" w:rsidRDefault="006F5677" w:rsidP="006F5677">
      <w:pPr>
        <w:pStyle w:val="Heading2"/>
        <w:rPr>
          <w:rFonts w:ascii="Times New Roman" w:hAnsi="Times New Roman" w:cs="Times New Roman"/>
          <w:color w:val="auto"/>
          <w:sz w:val="24"/>
          <w:szCs w:val="24"/>
        </w:rPr>
      </w:pPr>
    </w:p>
    <w:p w:rsidR="006F5677" w:rsidRPr="000A438B" w:rsidRDefault="006F5677" w:rsidP="006F5677">
      <w:pPr>
        <w:pStyle w:val="Heading3"/>
        <w:rPr>
          <w:rFonts w:ascii="Times New Roman" w:hAnsi="Times New Roman" w:cs="Times New Roman"/>
          <w:color w:val="auto"/>
          <w:spacing w:val="1"/>
          <w:sz w:val="24"/>
          <w:szCs w:val="24"/>
        </w:rPr>
      </w:pPr>
      <w:bookmarkStart w:id="16" w:name="_Toc438102639"/>
      <w:r>
        <w:rPr>
          <w:rFonts w:ascii="Times New Roman" w:hAnsi="Times New Roman" w:cs="Times New Roman"/>
          <w:color w:val="auto"/>
          <w:spacing w:val="1"/>
          <w:sz w:val="24"/>
          <w:szCs w:val="24"/>
        </w:rPr>
        <w:t>3.7.4</w:t>
      </w:r>
      <w:r w:rsidRPr="000A438B">
        <w:rPr>
          <w:rFonts w:ascii="Times New Roman" w:hAnsi="Times New Roman" w:cs="Times New Roman"/>
          <w:color w:val="auto"/>
          <w:spacing w:val="1"/>
          <w:sz w:val="24"/>
          <w:szCs w:val="24"/>
        </w:rPr>
        <w:t xml:space="preserve"> </w:t>
      </w:r>
      <w:r w:rsidRPr="000A438B">
        <w:rPr>
          <w:rFonts w:ascii="Times New Roman" w:hAnsi="Times New Roman" w:cs="Times New Roman"/>
          <w:color w:val="auto"/>
          <w:sz w:val="24"/>
          <w:szCs w:val="24"/>
        </w:rPr>
        <w:t>PCR quantitativo em tempo real (qPCR)</w:t>
      </w:r>
      <w:bookmarkEnd w:id="16"/>
    </w:p>
    <w:p w:rsidR="006F5677" w:rsidRPr="000A438B" w:rsidRDefault="006F5677" w:rsidP="006F5677">
      <w:pPr>
        <w:spacing w:line="360" w:lineRule="auto"/>
        <w:ind w:firstLine="720"/>
        <w:jc w:val="both"/>
        <w:rPr>
          <w:rFonts w:ascii="Times New Roman" w:hAnsi="Times New Roman" w:cs="Times New Roman"/>
          <w:sz w:val="24"/>
          <w:szCs w:val="24"/>
          <w:lang w:eastAsia="pt-BR"/>
        </w:rPr>
      </w:pPr>
    </w:p>
    <w:p w:rsidR="006F5677" w:rsidRPr="000A438B" w:rsidRDefault="006F5677" w:rsidP="006F5677">
      <w:pPr>
        <w:spacing w:line="360" w:lineRule="auto"/>
        <w:ind w:firstLine="1134"/>
        <w:jc w:val="both"/>
        <w:rPr>
          <w:rFonts w:ascii="Times New Roman" w:hAnsi="Times New Roman" w:cs="Times New Roman"/>
          <w:sz w:val="24"/>
          <w:szCs w:val="24"/>
          <w:lang w:eastAsia="pt-BR"/>
        </w:rPr>
      </w:pPr>
      <w:r w:rsidRPr="000A438B">
        <w:rPr>
          <w:rFonts w:ascii="Times New Roman" w:hAnsi="Times New Roman" w:cs="Times New Roman"/>
          <w:sz w:val="24"/>
          <w:szCs w:val="24"/>
          <w:lang w:eastAsia="pt-BR"/>
        </w:rPr>
        <w:t>A expressão gênica de iNOS</w:t>
      </w:r>
      <w:r>
        <w:rPr>
          <w:rFonts w:ascii="Times New Roman" w:hAnsi="Times New Roman" w:cs="Times New Roman"/>
          <w:sz w:val="24"/>
          <w:szCs w:val="24"/>
          <w:lang w:eastAsia="pt-BR"/>
        </w:rPr>
        <w:t xml:space="preserve"> e de AchE</w:t>
      </w:r>
      <w:r w:rsidRPr="000A438B">
        <w:rPr>
          <w:rFonts w:ascii="Times New Roman" w:hAnsi="Times New Roman" w:cs="Times New Roman"/>
          <w:sz w:val="24"/>
          <w:szCs w:val="24"/>
          <w:lang w:eastAsia="pt-BR"/>
        </w:rPr>
        <w:t xml:space="preserve"> será avaliada por meio do sistema de PCR em tempo real (</w:t>
      </w:r>
      <w:r w:rsidRPr="000A438B">
        <w:rPr>
          <w:rFonts w:ascii="Times New Roman" w:hAnsi="Times New Roman" w:cs="Times New Roman"/>
          <w:sz w:val="24"/>
          <w:szCs w:val="24"/>
          <w:shd w:val="clear" w:color="auto" w:fill="FFFFFF"/>
        </w:rPr>
        <w:t>Light cycler 96</w:t>
      </w:r>
      <w:r w:rsidRPr="000A438B">
        <w:rPr>
          <w:rFonts w:ascii="Times New Roman" w:hAnsi="Times New Roman" w:cs="Times New Roman"/>
          <w:sz w:val="24"/>
          <w:szCs w:val="24"/>
          <w:lang w:eastAsia="pt-BR"/>
        </w:rPr>
        <w:t xml:space="preserve">, Roche), utilizando kit de TaqMan PCR master mix (Life Technologies). O gene de referência utilizado </w:t>
      </w:r>
      <w:r>
        <w:rPr>
          <w:rFonts w:ascii="Times New Roman" w:hAnsi="Times New Roman" w:cs="Times New Roman"/>
          <w:sz w:val="24"/>
          <w:szCs w:val="24"/>
          <w:lang w:eastAsia="pt-BR"/>
        </w:rPr>
        <w:t>será</w:t>
      </w:r>
      <w:r w:rsidRPr="000A438B">
        <w:rPr>
          <w:rFonts w:ascii="Times New Roman" w:hAnsi="Times New Roman" w:cs="Times New Roman"/>
          <w:sz w:val="24"/>
          <w:szCs w:val="24"/>
          <w:lang w:eastAsia="pt-BR"/>
        </w:rPr>
        <w:t xml:space="preserve"> </w:t>
      </w:r>
      <w:r w:rsidRPr="000A438B">
        <w:rPr>
          <w:rFonts w:ascii="Times New Roman" w:hAnsi="Times New Roman" w:cs="Times New Roman"/>
          <w:sz w:val="24"/>
          <w:szCs w:val="24"/>
          <w:lang w:eastAsia="pt-BR"/>
        </w:rPr>
        <w:t>o gliceraldeído-3-fosfato desidrogenase (GAPDH). Todas as sondas utilizadas e as condições do qPCR estão apresentadas no quadro 1.</w:t>
      </w:r>
    </w:p>
    <w:p w:rsidR="006F5677" w:rsidRPr="000A438B" w:rsidRDefault="006F5677" w:rsidP="006F5677">
      <w:pPr>
        <w:spacing w:line="360" w:lineRule="auto"/>
        <w:ind w:firstLine="1134"/>
        <w:jc w:val="both"/>
        <w:rPr>
          <w:rFonts w:ascii="Times New Roman" w:hAnsi="Times New Roman" w:cs="Times New Roman"/>
          <w:sz w:val="24"/>
          <w:szCs w:val="24"/>
        </w:rPr>
      </w:pPr>
      <w:r w:rsidRPr="000A438B">
        <w:rPr>
          <w:rFonts w:ascii="Times New Roman" w:hAnsi="Times New Roman" w:cs="Times New Roman"/>
          <w:sz w:val="24"/>
          <w:szCs w:val="24"/>
          <w:lang w:eastAsia="pt-BR"/>
        </w:rPr>
        <w:t xml:space="preserve">Os valores de </w:t>
      </w:r>
      <w:r w:rsidRPr="000A438B">
        <w:rPr>
          <w:rFonts w:ascii="Times New Roman" w:hAnsi="Times New Roman" w:cs="Times New Roman"/>
          <w:i/>
          <w:sz w:val="24"/>
          <w:szCs w:val="24"/>
          <w:lang w:eastAsia="pt-BR"/>
        </w:rPr>
        <w:t>Threshold cycle</w:t>
      </w:r>
      <w:r w:rsidRPr="000A438B">
        <w:rPr>
          <w:rFonts w:ascii="Times New Roman" w:hAnsi="Times New Roman" w:cs="Times New Roman"/>
          <w:sz w:val="24"/>
          <w:szCs w:val="24"/>
          <w:lang w:eastAsia="pt-BR"/>
        </w:rPr>
        <w:t xml:space="preserve"> (Cq ou Ct), obtidos pelo software do equipamento, dos genes avaliados serão exportados para o Microsoft Office Excel 2010, no qual os níveis relativos de RNAm </w:t>
      </w:r>
      <w:r>
        <w:rPr>
          <w:rFonts w:ascii="Times New Roman" w:hAnsi="Times New Roman" w:cs="Times New Roman"/>
          <w:sz w:val="24"/>
          <w:szCs w:val="24"/>
          <w:lang w:eastAsia="pt-BR"/>
        </w:rPr>
        <w:t>serão</w:t>
      </w:r>
      <w:r w:rsidRPr="000A438B">
        <w:rPr>
          <w:rFonts w:ascii="Times New Roman" w:hAnsi="Times New Roman" w:cs="Times New Roman"/>
          <w:sz w:val="24"/>
          <w:szCs w:val="24"/>
          <w:lang w:eastAsia="pt-BR"/>
        </w:rPr>
        <w:t xml:space="preserve"> </w:t>
      </w:r>
      <w:r w:rsidRPr="000A438B">
        <w:rPr>
          <w:rFonts w:ascii="Times New Roman" w:hAnsi="Times New Roman" w:cs="Times New Roman"/>
          <w:sz w:val="24"/>
          <w:szCs w:val="24"/>
          <w:lang w:eastAsia="pt-BR"/>
        </w:rPr>
        <w:t>calculados de acordo com a metodologia descrita por Livak e Schmittgen (2001).</w:t>
      </w:r>
    </w:p>
    <w:p w:rsidR="006F5677" w:rsidRPr="000A438B" w:rsidRDefault="006F5677" w:rsidP="006F5677">
      <w:pPr>
        <w:rPr>
          <w:rFonts w:ascii="Times New Roman" w:hAnsi="Times New Roman" w:cs="Times New Roman"/>
          <w:sz w:val="24"/>
          <w:szCs w:val="24"/>
          <w:lang w:eastAsia="pt-BR"/>
        </w:rPr>
      </w:pPr>
    </w:p>
    <w:p w:rsidR="006F5677" w:rsidRPr="000A438B" w:rsidRDefault="006F5677" w:rsidP="006F5677">
      <w:bookmarkStart w:id="17" w:name="_Ref437858528"/>
      <w:bookmarkStart w:id="18" w:name="_Toc436642955"/>
      <w:bookmarkStart w:id="19" w:name="_Toc437988739"/>
      <w:bookmarkStart w:id="20" w:name="_Toc437988894"/>
      <w:bookmarkStart w:id="21" w:name="_Toc4381026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4"/>
        <w:gridCol w:w="4852"/>
      </w:tblGrid>
      <w:tr w:rsidR="006F5677" w:rsidRPr="000A438B" w:rsidTr="00AB002B">
        <w:trPr>
          <w:trHeight w:val="510"/>
        </w:trPr>
        <w:tc>
          <w:tcPr>
            <w:tcW w:w="8720" w:type="dxa"/>
            <w:gridSpan w:val="2"/>
            <w:tcBorders>
              <w:top w:val="single" w:sz="4" w:space="0" w:color="auto"/>
              <w:left w:val="single" w:sz="4" w:space="0" w:color="auto"/>
              <w:bottom w:val="single" w:sz="4" w:space="0" w:color="auto"/>
              <w:right w:val="single" w:sz="4" w:space="0" w:color="auto"/>
            </w:tcBorders>
            <w:shd w:val="clear" w:color="auto" w:fill="auto"/>
          </w:tcPr>
          <w:bookmarkEnd w:id="17"/>
          <w:bookmarkEnd w:id="18"/>
          <w:bookmarkEnd w:id="19"/>
          <w:bookmarkEnd w:id="20"/>
          <w:bookmarkEnd w:id="21"/>
          <w:p w:rsidR="006F5677" w:rsidRPr="000A438B" w:rsidRDefault="006F5677" w:rsidP="00AB002B">
            <w:pPr>
              <w:tabs>
                <w:tab w:val="left" w:pos="1935"/>
              </w:tabs>
              <w:rPr>
                <w:rFonts w:ascii="Times New Roman" w:hAnsi="Times New Roman" w:cs="Times New Roman"/>
                <w:sz w:val="24"/>
                <w:szCs w:val="24"/>
              </w:rPr>
            </w:pPr>
            <w:r w:rsidRPr="000A438B">
              <w:rPr>
                <w:rFonts w:ascii="Times New Roman" w:hAnsi="Times New Roman" w:cs="Times New Roman"/>
                <w:sz w:val="24"/>
                <w:szCs w:val="24"/>
              </w:rPr>
              <w:t>iNOS (Óxido nítrico sintase induzida)</w:t>
            </w:r>
          </w:p>
        </w:tc>
      </w:tr>
      <w:tr w:rsidR="006F5677" w:rsidRPr="000A438B" w:rsidTr="00AB002B">
        <w:trPr>
          <w:trHeight w:val="510"/>
        </w:trPr>
        <w:tc>
          <w:tcPr>
            <w:tcW w:w="3858" w:type="dxa"/>
            <w:tcBorders>
              <w:top w:val="single" w:sz="4" w:space="0" w:color="auto"/>
              <w:left w:val="single" w:sz="4" w:space="0" w:color="auto"/>
              <w:bottom w:val="nil"/>
              <w:right w:val="nil"/>
            </w:tcBorders>
            <w:shd w:val="clear" w:color="auto" w:fill="auto"/>
          </w:tcPr>
          <w:p w:rsidR="006F5677" w:rsidRPr="000A438B" w:rsidRDefault="006F5677" w:rsidP="00AB002B">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ID assay</w:t>
            </w:r>
          </w:p>
        </w:tc>
        <w:tc>
          <w:tcPr>
            <w:tcW w:w="4862" w:type="dxa"/>
            <w:tcBorders>
              <w:top w:val="single" w:sz="4" w:space="0" w:color="auto"/>
              <w:left w:val="nil"/>
              <w:bottom w:val="nil"/>
              <w:right w:val="single" w:sz="4" w:space="0" w:color="auto"/>
            </w:tcBorders>
            <w:shd w:val="clear" w:color="auto" w:fill="auto"/>
          </w:tcPr>
          <w:p w:rsidR="006F5677" w:rsidRPr="000A438B" w:rsidRDefault="006F5677" w:rsidP="00AB002B">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Mm00440502_m1</w:t>
            </w:r>
          </w:p>
        </w:tc>
      </w:tr>
      <w:tr w:rsidR="006F5677" w:rsidRPr="000A438B" w:rsidTr="00AB002B">
        <w:trPr>
          <w:trHeight w:val="510"/>
        </w:trPr>
        <w:tc>
          <w:tcPr>
            <w:tcW w:w="3858" w:type="dxa"/>
            <w:tcBorders>
              <w:top w:val="nil"/>
              <w:left w:val="single" w:sz="4" w:space="0" w:color="auto"/>
              <w:bottom w:val="nil"/>
              <w:right w:val="nil"/>
            </w:tcBorders>
            <w:shd w:val="clear" w:color="auto" w:fill="auto"/>
          </w:tcPr>
          <w:p w:rsidR="006F5677" w:rsidRPr="000A438B" w:rsidRDefault="006F5677" w:rsidP="00AB002B">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 xml:space="preserve">TaQman probe </w:t>
            </w:r>
          </w:p>
        </w:tc>
        <w:tc>
          <w:tcPr>
            <w:tcW w:w="4862" w:type="dxa"/>
            <w:tcBorders>
              <w:top w:val="nil"/>
              <w:left w:val="nil"/>
              <w:bottom w:val="nil"/>
              <w:right w:val="single" w:sz="4" w:space="0" w:color="auto"/>
            </w:tcBorders>
            <w:shd w:val="clear" w:color="auto" w:fill="auto"/>
          </w:tcPr>
          <w:p w:rsidR="006F5677" w:rsidRPr="000A438B" w:rsidRDefault="006F5677" w:rsidP="00AB002B">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GCCTTGTGTCAGCCCTCAGAGTACA</w:t>
            </w:r>
          </w:p>
        </w:tc>
      </w:tr>
      <w:tr w:rsidR="006F5677" w:rsidRPr="000A438B" w:rsidTr="00AB002B">
        <w:trPr>
          <w:trHeight w:val="510"/>
        </w:trPr>
        <w:tc>
          <w:tcPr>
            <w:tcW w:w="3858" w:type="dxa"/>
            <w:tcBorders>
              <w:top w:val="nil"/>
              <w:left w:val="single" w:sz="4" w:space="0" w:color="auto"/>
              <w:bottom w:val="nil"/>
              <w:right w:val="nil"/>
            </w:tcBorders>
            <w:shd w:val="clear" w:color="auto" w:fill="auto"/>
          </w:tcPr>
          <w:p w:rsidR="006F5677" w:rsidRPr="000A438B" w:rsidRDefault="006F5677" w:rsidP="00AB002B">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 xml:space="preserve">Amplicon length: </w:t>
            </w:r>
          </w:p>
        </w:tc>
        <w:tc>
          <w:tcPr>
            <w:tcW w:w="4862" w:type="dxa"/>
            <w:tcBorders>
              <w:top w:val="nil"/>
              <w:left w:val="nil"/>
              <w:bottom w:val="nil"/>
              <w:right w:val="single" w:sz="4" w:space="0" w:color="auto"/>
            </w:tcBorders>
            <w:shd w:val="clear" w:color="auto" w:fill="auto"/>
          </w:tcPr>
          <w:p w:rsidR="006F5677" w:rsidRPr="000A438B" w:rsidRDefault="006F5677" w:rsidP="00AB002B">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66</w:t>
            </w:r>
          </w:p>
        </w:tc>
      </w:tr>
      <w:tr w:rsidR="006F5677" w:rsidRPr="000A438B" w:rsidTr="00AB002B">
        <w:trPr>
          <w:trHeight w:val="510"/>
        </w:trPr>
        <w:tc>
          <w:tcPr>
            <w:tcW w:w="8720" w:type="dxa"/>
            <w:gridSpan w:val="2"/>
            <w:tcBorders>
              <w:top w:val="single" w:sz="4" w:space="0" w:color="auto"/>
              <w:left w:val="single" w:sz="4" w:space="0" w:color="auto"/>
              <w:bottom w:val="single" w:sz="4" w:space="0" w:color="auto"/>
              <w:right w:val="single" w:sz="4" w:space="0" w:color="auto"/>
            </w:tcBorders>
            <w:shd w:val="clear" w:color="auto" w:fill="auto"/>
          </w:tcPr>
          <w:p w:rsidR="006F5677" w:rsidRPr="000A438B" w:rsidRDefault="006F5677" w:rsidP="00AB002B">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GAPDH (Gliceraldeido-3-fosfato desidrogenase)</w:t>
            </w:r>
          </w:p>
        </w:tc>
      </w:tr>
      <w:tr w:rsidR="006F5677" w:rsidRPr="000A438B" w:rsidTr="00AB002B">
        <w:trPr>
          <w:trHeight w:val="510"/>
        </w:trPr>
        <w:tc>
          <w:tcPr>
            <w:tcW w:w="3858" w:type="dxa"/>
            <w:tcBorders>
              <w:top w:val="single" w:sz="4" w:space="0" w:color="auto"/>
              <w:left w:val="single" w:sz="4" w:space="0" w:color="auto"/>
              <w:bottom w:val="nil"/>
              <w:right w:val="nil"/>
            </w:tcBorders>
            <w:shd w:val="clear" w:color="auto" w:fill="auto"/>
          </w:tcPr>
          <w:p w:rsidR="006F5677" w:rsidRPr="000A438B" w:rsidRDefault="006F5677" w:rsidP="00AB002B">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ID assay</w:t>
            </w:r>
          </w:p>
        </w:tc>
        <w:tc>
          <w:tcPr>
            <w:tcW w:w="4862" w:type="dxa"/>
            <w:tcBorders>
              <w:top w:val="single" w:sz="4" w:space="0" w:color="auto"/>
              <w:left w:val="nil"/>
              <w:bottom w:val="nil"/>
              <w:right w:val="single" w:sz="4" w:space="0" w:color="auto"/>
            </w:tcBorders>
            <w:shd w:val="clear" w:color="auto" w:fill="auto"/>
          </w:tcPr>
          <w:p w:rsidR="006F5677" w:rsidRPr="000A438B" w:rsidRDefault="006F5677" w:rsidP="00AB002B">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Mm99999915_g1</w:t>
            </w:r>
          </w:p>
        </w:tc>
      </w:tr>
      <w:tr w:rsidR="006F5677" w:rsidRPr="000A438B" w:rsidTr="00AB002B">
        <w:trPr>
          <w:trHeight w:val="510"/>
        </w:trPr>
        <w:tc>
          <w:tcPr>
            <w:tcW w:w="3858" w:type="dxa"/>
            <w:tcBorders>
              <w:top w:val="nil"/>
              <w:left w:val="single" w:sz="4" w:space="0" w:color="auto"/>
              <w:bottom w:val="nil"/>
              <w:right w:val="nil"/>
            </w:tcBorders>
            <w:shd w:val="clear" w:color="auto" w:fill="auto"/>
          </w:tcPr>
          <w:p w:rsidR="006F5677" w:rsidRPr="000A438B" w:rsidRDefault="006F5677" w:rsidP="00AB002B">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 xml:space="preserve">TaQman probe </w:t>
            </w:r>
          </w:p>
        </w:tc>
        <w:tc>
          <w:tcPr>
            <w:tcW w:w="4862" w:type="dxa"/>
            <w:tcBorders>
              <w:top w:val="nil"/>
              <w:left w:val="nil"/>
              <w:bottom w:val="nil"/>
              <w:right w:val="single" w:sz="4" w:space="0" w:color="auto"/>
            </w:tcBorders>
            <w:shd w:val="clear" w:color="auto" w:fill="auto"/>
          </w:tcPr>
          <w:p w:rsidR="006F5677" w:rsidRPr="000A438B" w:rsidRDefault="006F5677" w:rsidP="00AB002B">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GGTGTGAACGGATTTGGCCGTATTG</w:t>
            </w:r>
          </w:p>
        </w:tc>
      </w:tr>
      <w:tr w:rsidR="006F5677" w:rsidRPr="000A438B" w:rsidTr="00AB002B">
        <w:trPr>
          <w:trHeight w:val="354"/>
        </w:trPr>
        <w:tc>
          <w:tcPr>
            <w:tcW w:w="3858" w:type="dxa"/>
            <w:tcBorders>
              <w:top w:val="nil"/>
              <w:left w:val="single" w:sz="4" w:space="0" w:color="auto"/>
              <w:bottom w:val="single" w:sz="4" w:space="0" w:color="auto"/>
              <w:right w:val="nil"/>
            </w:tcBorders>
            <w:shd w:val="clear" w:color="auto" w:fill="auto"/>
          </w:tcPr>
          <w:p w:rsidR="006F5677" w:rsidRPr="000A438B" w:rsidRDefault="006F5677" w:rsidP="00AB002B">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 xml:space="preserve">Amplicon length: </w:t>
            </w:r>
          </w:p>
        </w:tc>
        <w:tc>
          <w:tcPr>
            <w:tcW w:w="4862" w:type="dxa"/>
            <w:tcBorders>
              <w:top w:val="nil"/>
              <w:left w:val="nil"/>
              <w:bottom w:val="single" w:sz="4" w:space="0" w:color="auto"/>
              <w:right w:val="single" w:sz="4" w:space="0" w:color="auto"/>
            </w:tcBorders>
            <w:shd w:val="clear" w:color="auto" w:fill="auto"/>
          </w:tcPr>
          <w:p w:rsidR="006F5677" w:rsidRPr="000A438B" w:rsidRDefault="006F5677" w:rsidP="00AB002B">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109</w:t>
            </w:r>
          </w:p>
        </w:tc>
      </w:tr>
      <w:tr w:rsidR="006F5677" w:rsidRPr="000A438B" w:rsidTr="00AB002B">
        <w:trPr>
          <w:trHeight w:val="402"/>
        </w:trPr>
        <w:tc>
          <w:tcPr>
            <w:tcW w:w="3858" w:type="dxa"/>
            <w:tcBorders>
              <w:top w:val="single" w:sz="4" w:space="0" w:color="auto"/>
              <w:left w:val="single" w:sz="4" w:space="0" w:color="auto"/>
              <w:bottom w:val="single" w:sz="4" w:space="0" w:color="auto"/>
              <w:right w:val="nil"/>
            </w:tcBorders>
            <w:shd w:val="clear" w:color="auto" w:fill="auto"/>
          </w:tcPr>
          <w:p w:rsidR="006F5677" w:rsidRPr="000A438B" w:rsidRDefault="006F5677" w:rsidP="00AB002B">
            <w:pPr>
              <w:tabs>
                <w:tab w:val="left" w:pos="1935"/>
              </w:tabs>
              <w:rPr>
                <w:rFonts w:ascii="Times New Roman" w:hAnsi="Times New Roman" w:cs="Times New Roman"/>
                <w:sz w:val="24"/>
                <w:szCs w:val="24"/>
                <w:lang w:val="en-US"/>
              </w:rPr>
            </w:pPr>
            <w:r>
              <w:rPr>
                <w:rFonts w:ascii="Times New Roman" w:hAnsi="Times New Roman" w:cs="Times New Roman"/>
                <w:sz w:val="24"/>
                <w:szCs w:val="24"/>
                <w:lang w:val="en-US"/>
              </w:rPr>
              <w:t>AchE (acetilcolinesterase)</w:t>
            </w:r>
          </w:p>
        </w:tc>
        <w:tc>
          <w:tcPr>
            <w:tcW w:w="4862" w:type="dxa"/>
            <w:tcBorders>
              <w:top w:val="single" w:sz="4" w:space="0" w:color="auto"/>
              <w:left w:val="nil"/>
              <w:bottom w:val="single" w:sz="4" w:space="0" w:color="auto"/>
              <w:right w:val="single" w:sz="4" w:space="0" w:color="auto"/>
            </w:tcBorders>
            <w:shd w:val="clear" w:color="auto" w:fill="auto"/>
          </w:tcPr>
          <w:p w:rsidR="006F5677" w:rsidRPr="000A438B" w:rsidRDefault="006F5677" w:rsidP="00AB002B">
            <w:pPr>
              <w:tabs>
                <w:tab w:val="left" w:pos="1935"/>
              </w:tabs>
              <w:rPr>
                <w:rFonts w:ascii="Times New Roman" w:hAnsi="Times New Roman" w:cs="Times New Roman"/>
                <w:sz w:val="24"/>
                <w:szCs w:val="24"/>
                <w:lang w:val="en-US"/>
              </w:rPr>
            </w:pPr>
          </w:p>
        </w:tc>
      </w:tr>
      <w:tr w:rsidR="006F5677" w:rsidRPr="000A438B" w:rsidTr="00AB002B">
        <w:trPr>
          <w:trHeight w:val="100"/>
        </w:trPr>
        <w:tc>
          <w:tcPr>
            <w:tcW w:w="3858" w:type="dxa"/>
            <w:tcBorders>
              <w:top w:val="single" w:sz="4" w:space="0" w:color="auto"/>
              <w:left w:val="single" w:sz="4" w:space="0" w:color="auto"/>
              <w:bottom w:val="nil"/>
              <w:right w:val="nil"/>
            </w:tcBorders>
            <w:shd w:val="clear" w:color="auto" w:fill="auto"/>
          </w:tcPr>
          <w:p w:rsidR="006F5677" w:rsidRDefault="006F5677" w:rsidP="00AB002B">
            <w:pPr>
              <w:tabs>
                <w:tab w:val="left" w:pos="1935"/>
              </w:tabs>
              <w:rPr>
                <w:rFonts w:ascii="Times New Roman" w:hAnsi="Times New Roman" w:cs="Times New Roman"/>
                <w:sz w:val="24"/>
                <w:szCs w:val="24"/>
                <w:lang w:val="en-US"/>
              </w:rPr>
            </w:pPr>
          </w:p>
        </w:tc>
        <w:tc>
          <w:tcPr>
            <w:tcW w:w="4862" w:type="dxa"/>
            <w:tcBorders>
              <w:top w:val="single" w:sz="4" w:space="0" w:color="auto"/>
              <w:left w:val="nil"/>
              <w:bottom w:val="nil"/>
              <w:right w:val="single" w:sz="4" w:space="0" w:color="auto"/>
            </w:tcBorders>
            <w:shd w:val="clear" w:color="auto" w:fill="auto"/>
          </w:tcPr>
          <w:p w:rsidR="006F5677" w:rsidRPr="000A438B" w:rsidRDefault="006F5677" w:rsidP="00AB002B">
            <w:pPr>
              <w:tabs>
                <w:tab w:val="left" w:pos="1935"/>
              </w:tabs>
              <w:rPr>
                <w:rFonts w:ascii="Times New Roman" w:hAnsi="Times New Roman" w:cs="Times New Roman"/>
                <w:sz w:val="24"/>
                <w:szCs w:val="24"/>
                <w:lang w:val="en-US"/>
              </w:rPr>
            </w:pPr>
          </w:p>
        </w:tc>
      </w:tr>
      <w:tr w:rsidR="006F5677" w:rsidRPr="000A438B" w:rsidTr="00AB002B">
        <w:trPr>
          <w:trHeight w:val="301"/>
        </w:trPr>
        <w:tc>
          <w:tcPr>
            <w:tcW w:w="3858" w:type="dxa"/>
            <w:tcBorders>
              <w:top w:val="nil"/>
              <w:left w:val="single" w:sz="4" w:space="0" w:color="auto"/>
              <w:bottom w:val="nil"/>
              <w:right w:val="nil"/>
            </w:tcBorders>
            <w:shd w:val="clear" w:color="auto" w:fill="auto"/>
          </w:tcPr>
          <w:p w:rsidR="006F5677" w:rsidRPr="000A438B" w:rsidRDefault="006F5677" w:rsidP="00AB002B">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ID assay</w:t>
            </w:r>
          </w:p>
        </w:tc>
        <w:tc>
          <w:tcPr>
            <w:tcW w:w="4862" w:type="dxa"/>
            <w:tcBorders>
              <w:top w:val="nil"/>
              <w:left w:val="nil"/>
              <w:bottom w:val="nil"/>
              <w:right w:val="single" w:sz="4" w:space="0" w:color="auto"/>
            </w:tcBorders>
            <w:shd w:val="clear" w:color="auto" w:fill="auto"/>
          </w:tcPr>
          <w:p w:rsidR="006F5677" w:rsidRPr="000A438B" w:rsidRDefault="006F5677" w:rsidP="00AB002B">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Mm00440502_m1</w:t>
            </w:r>
          </w:p>
        </w:tc>
      </w:tr>
      <w:tr w:rsidR="006F5677" w:rsidRPr="000A438B" w:rsidTr="00AB002B">
        <w:trPr>
          <w:trHeight w:val="301"/>
        </w:trPr>
        <w:tc>
          <w:tcPr>
            <w:tcW w:w="3858" w:type="dxa"/>
            <w:tcBorders>
              <w:top w:val="nil"/>
              <w:left w:val="single" w:sz="4" w:space="0" w:color="auto"/>
              <w:bottom w:val="nil"/>
              <w:right w:val="nil"/>
            </w:tcBorders>
            <w:shd w:val="clear" w:color="auto" w:fill="auto"/>
          </w:tcPr>
          <w:p w:rsidR="006F5677" w:rsidRPr="000A438B" w:rsidRDefault="006F5677" w:rsidP="00AB002B">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 xml:space="preserve">TaQman probe </w:t>
            </w:r>
          </w:p>
        </w:tc>
        <w:tc>
          <w:tcPr>
            <w:tcW w:w="4862" w:type="dxa"/>
            <w:tcBorders>
              <w:top w:val="nil"/>
              <w:left w:val="nil"/>
              <w:bottom w:val="nil"/>
              <w:right w:val="single" w:sz="4" w:space="0" w:color="auto"/>
            </w:tcBorders>
            <w:shd w:val="clear" w:color="auto" w:fill="auto"/>
          </w:tcPr>
          <w:p w:rsidR="006F5677" w:rsidRPr="000A438B" w:rsidRDefault="006F5677" w:rsidP="00AB002B">
            <w:pPr>
              <w:tabs>
                <w:tab w:val="left" w:pos="1935"/>
              </w:tabs>
              <w:rPr>
                <w:rFonts w:ascii="Times New Roman" w:hAnsi="Times New Roman" w:cs="Times New Roman"/>
                <w:sz w:val="24"/>
                <w:szCs w:val="24"/>
                <w:lang w:val="en-US"/>
              </w:rPr>
            </w:pPr>
            <w:r w:rsidRPr="00A57E8C">
              <w:rPr>
                <w:rFonts w:ascii="Times New Roman" w:hAnsi="Times New Roman" w:cs="Times New Roman"/>
                <w:sz w:val="24"/>
                <w:szCs w:val="24"/>
                <w:lang w:val="en-US"/>
              </w:rPr>
              <w:t>CCTGTGCGGGCAAAATTGCTGGATCCCT CGCTGAA</w:t>
            </w:r>
          </w:p>
        </w:tc>
      </w:tr>
      <w:tr w:rsidR="006F5677" w:rsidRPr="000A438B" w:rsidTr="00AB002B">
        <w:trPr>
          <w:trHeight w:val="301"/>
        </w:trPr>
        <w:tc>
          <w:tcPr>
            <w:tcW w:w="3858" w:type="dxa"/>
            <w:tcBorders>
              <w:top w:val="nil"/>
              <w:left w:val="single" w:sz="4" w:space="0" w:color="auto"/>
              <w:bottom w:val="single" w:sz="4" w:space="0" w:color="auto"/>
              <w:right w:val="nil"/>
            </w:tcBorders>
            <w:shd w:val="clear" w:color="auto" w:fill="auto"/>
          </w:tcPr>
          <w:p w:rsidR="006F5677" w:rsidRPr="000A438B" w:rsidRDefault="006F5677" w:rsidP="00AB002B">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 xml:space="preserve">Amplicon length: </w:t>
            </w:r>
          </w:p>
        </w:tc>
        <w:tc>
          <w:tcPr>
            <w:tcW w:w="4862" w:type="dxa"/>
            <w:tcBorders>
              <w:top w:val="nil"/>
              <w:left w:val="nil"/>
              <w:bottom w:val="single" w:sz="4" w:space="0" w:color="auto"/>
              <w:right w:val="single" w:sz="4" w:space="0" w:color="auto"/>
            </w:tcBorders>
            <w:shd w:val="clear" w:color="auto" w:fill="auto"/>
          </w:tcPr>
          <w:p w:rsidR="006F5677" w:rsidRPr="000A438B" w:rsidRDefault="006F5677" w:rsidP="00AB002B">
            <w:pPr>
              <w:tabs>
                <w:tab w:val="left" w:pos="1935"/>
              </w:tabs>
              <w:rPr>
                <w:rFonts w:ascii="Times New Roman" w:hAnsi="Times New Roman" w:cs="Times New Roman"/>
                <w:sz w:val="24"/>
                <w:szCs w:val="24"/>
                <w:lang w:val="en-US"/>
              </w:rPr>
            </w:pPr>
            <w:r w:rsidRPr="000A438B">
              <w:rPr>
                <w:rFonts w:ascii="Times New Roman" w:hAnsi="Times New Roman" w:cs="Times New Roman"/>
                <w:sz w:val="24"/>
                <w:szCs w:val="24"/>
                <w:lang w:val="en-US"/>
              </w:rPr>
              <w:t>66</w:t>
            </w:r>
          </w:p>
        </w:tc>
      </w:tr>
    </w:tbl>
    <w:p w:rsidR="006F5677" w:rsidRPr="000A438B" w:rsidRDefault="006F5677" w:rsidP="006F5677">
      <w:pPr>
        <w:rPr>
          <w:rFonts w:ascii="Times New Roman" w:hAnsi="Times New Roman" w:cs="Times New Roman"/>
          <w:sz w:val="24"/>
          <w:szCs w:val="24"/>
          <w:lang w:eastAsia="pt-BR"/>
        </w:rPr>
      </w:pPr>
      <w:r w:rsidRPr="000A438B">
        <w:rPr>
          <w:rFonts w:ascii="Times New Roman" w:hAnsi="Times New Roman" w:cs="Times New Roman"/>
          <w:sz w:val="24"/>
          <w:szCs w:val="24"/>
          <w:lang w:eastAsia="pt-BR"/>
        </w:rPr>
        <w:t>Fonte: Elaborado pela autora.</w:t>
      </w:r>
    </w:p>
    <w:p w:rsidR="006F5677" w:rsidRDefault="006F5677" w:rsidP="006F5677">
      <w:pPr>
        <w:rPr>
          <w:rFonts w:ascii="Times New Roman" w:hAnsi="Times New Roman" w:cs="Times New Roman"/>
          <w:sz w:val="24"/>
          <w:szCs w:val="24"/>
          <w:lang w:eastAsia="pt-BR"/>
        </w:rPr>
      </w:pPr>
    </w:p>
    <w:p w:rsidR="006F5677" w:rsidRPr="00F41628" w:rsidRDefault="006F5677" w:rsidP="006F5677">
      <w:pPr>
        <w:pStyle w:val="Heading3"/>
        <w:rPr>
          <w:rFonts w:ascii="Times New Roman" w:hAnsi="Times New Roman" w:cs="Times New Roman"/>
          <w:color w:val="auto"/>
          <w:sz w:val="24"/>
          <w:szCs w:val="24"/>
        </w:rPr>
      </w:pPr>
      <w:bookmarkStart w:id="22" w:name="_Toc438102634"/>
      <w:r>
        <w:rPr>
          <w:rFonts w:ascii="Times New Roman" w:hAnsi="Times New Roman" w:cs="Times New Roman"/>
          <w:color w:val="auto"/>
          <w:sz w:val="24"/>
          <w:szCs w:val="24"/>
        </w:rPr>
        <w:t>3.8</w:t>
      </w:r>
      <w:r w:rsidRPr="00F41628">
        <w:rPr>
          <w:rFonts w:ascii="Times New Roman" w:hAnsi="Times New Roman" w:cs="Times New Roman"/>
          <w:color w:val="auto"/>
          <w:sz w:val="24"/>
          <w:szCs w:val="24"/>
        </w:rPr>
        <w:t xml:space="preserve"> Western Blotting</w:t>
      </w:r>
      <w:bookmarkEnd w:id="22"/>
    </w:p>
    <w:p w:rsidR="006F5677" w:rsidRPr="000A438B" w:rsidRDefault="006F5677" w:rsidP="006F5677">
      <w:pPr>
        <w:pStyle w:val="Heading2"/>
        <w:rPr>
          <w:rFonts w:ascii="Times New Roman" w:hAnsi="Times New Roman" w:cs="Times New Roman"/>
          <w:sz w:val="24"/>
          <w:szCs w:val="24"/>
        </w:rPr>
      </w:pPr>
    </w:p>
    <w:p w:rsidR="006F5677" w:rsidRPr="000A438B" w:rsidRDefault="006F5677" w:rsidP="006F5677">
      <w:pPr>
        <w:spacing w:line="360" w:lineRule="auto"/>
        <w:ind w:firstLine="1134"/>
        <w:jc w:val="both"/>
        <w:rPr>
          <w:rFonts w:ascii="Times New Roman" w:hAnsi="Times New Roman" w:cs="Times New Roman"/>
          <w:color w:val="000000"/>
          <w:sz w:val="24"/>
          <w:szCs w:val="24"/>
          <w:lang w:eastAsia="pt-BR"/>
        </w:rPr>
      </w:pPr>
      <w:r w:rsidRPr="000A438B">
        <w:rPr>
          <w:rFonts w:ascii="Times New Roman" w:hAnsi="Times New Roman" w:cs="Times New Roman"/>
          <w:color w:val="000000"/>
          <w:sz w:val="24"/>
          <w:szCs w:val="24"/>
          <w:lang w:eastAsia="pt-BR"/>
        </w:rPr>
        <w:t xml:space="preserve">Inicialmente, será preparado 20 µg de proteína referente a cada amostra, adicionando tampão da amostra (BioRad, EUA 65,8 mM Tris-HCl, pH 6,8; 26,3% glicerol; 2,1% SDS; 0,01% azul de bromofenol) e β-mecaptoetanol (BioRad, EUA), vortexando por 10 s, aquecendo no banho maria (95ºC, 5 min) e centrifugando (10000 rpm, 4ºC, 30s). Em seguida, será realizado a eletroforese vertical de proteínas em gel de poliacrilamida-SDS (SDS-PAGE) a 60 v nos primeiros 15 min para deposição das amostras no fundo do poço e 120 v para o restante da corrida, onde </w:t>
      </w:r>
      <w:r>
        <w:rPr>
          <w:rFonts w:ascii="Times New Roman" w:hAnsi="Times New Roman" w:cs="Times New Roman"/>
          <w:color w:val="000000"/>
          <w:sz w:val="24"/>
          <w:szCs w:val="24"/>
          <w:lang w:eastAsia="pt-BR"/>
        </w:rPr>
        <w:t>será</w:t>
      </w:r>
      <w:r w:rsidRPr="000A438B">
        <w:rPr>
          <w:rFonts w:ascii="Times New Roman" w:hAnsi="Times New Roman" w:cs="Times New Roman"/>
          <w:color w:val="000000"/>
          <w:sz w:val="24"/>
          <w:szCs w:val="24"/>
          <w:lang w:eastAsia="pt-BR"/>
        </w:rPr>
        <w:t xml:space="preserve"> </w:t>
      </w:r>
      <w:r w:rsidRPr="000A438B">
        <w:rPr>
          <w:rFonts w:ascii="Times New Roman" w:hAnsi="Times New Roman" w:cs="Times New Roman"/>
          <w:color w:val="000000"/>
          <w:sz w:val="24"/>
          <w:szCs w:val="24"/>
          <w:lang w:eastAsia="pt-BR"/>
        </w:rPr>
        <w:t xml:space="preserve">utilizado gel a 10% (caspase 3 e β-catenina) ou e tampão de corrida (25 mM Tris; 192 mM glicina; 1% SDS). Após a corrida, será efetuado a transferência por eletroforese das proteínas do gel para a membrana de PVDF (BioRad, EUA, Fluoreto de polivinilideno) a 100 v por duas horas em tampão de transferência (25 mM Tris; 192 mM glicina; 20% metanol). Após esta etapa, as membranas serão bloqueadas por uma hora em agitação constante, para reduzir as ligações inespecíficas, com 5% BSA (Sigma-Aldrich, EUA) diluído em tampão salina Tris-HCl suplementado com Tween 20 (TBST- 20 mM Tris pH 7,5; 150 mM NaCl; 0,1% Tween 20). Em seguida, será realizado a lavagem das membranas com TBST, sendo três lavagens por 10 min cada. Na etapa seguinte, as membranas serão incubadas, overnight a 4ºC sob agitação constante, com os anticorpos </w:t>
      </w:r>
      <w:r w:rsidRPr="000A438B">
        <w:rPr>
          <w:rFonts w:ascii="Times New Roman" w:hAnsi="Times New Roman" w:cs="Times New Roman"/>
          <w:sz w:val="24"/>
          <w:szCs w:val="24"/>
        </w:rPr>
        <w:t xml:space="preserve">anti-caspase 3 e </w:t>
      </w:r>
      <w:r w:rsidRPr="000A438B">
        <w:rPr>
          <w:rFonts w:ascii="Times New Roman" w:hAnsi="Times New Roman" w:cs="Times New Roman"/>
          <w:color w:val="000000"/>
          <w:sz w:val="24"/>
          <w:szCs w:val="24"/>
          <w:lang w:eastAsia="pt-BR"/>
        </w:rPr>
        <w:t>β-catenina</w:t>
      </w:r>
      <w:r w:rsidRPr="000A438B">
        <w:rPr>
          <w:rFonts w:ascii="Times New Roman" w:hAnsi="Times New Roman" w:cs="Times New Roman"/>
          <w:sz w:val="24"/>
          <w:szCs w:val="24"/>
        </w:rPr>
        <w:t>)</w:t>
      </w:r>
      <w:r w:rsidRPr="000A438B">
        <w:rPr>
          <w:rFonts w:ascii="Times New Roman" w:hAnsi="Times New Roman" w:cs="Times New Roman"/>
          <w:color w:val="000000"/>
          <w:sz w:val="24"/>
          <w:szCs w:val="24"/>
          <w:lang w:eastAsia="pt-BR"/>
        </w:rPr>
        <w:t xml:space="preserve"> diluídos em 1% de BSA em TBST. Após esta etapa, será realizado três lavagens de 10 min cada com TBST. As membranas serão incubadas com os anticorpos secundários HRP-goat anti-rabbit</w:t>
      </w:r>
      <w:r w:rsidRPr="000A438B">
        <w:rPr>
          <w:rFonts w:ascii="Times New Roman" w:hAnsi="Times New Roman" w:cs="Times New Roman"/>
          <w:sz w:val="24"/>
          <w:szCs w:val="24"/>
        </w:rPr>
        <w:t xml:space="preserve"> (Invitrogen, 656120, 1:1000) ou </w:t>
      </w:r>
      <w:r w:rsidRPr="000A438B">
        <w:rPr>
          <w:rFonts w:ascii="Times New Roman" w:hAnsi="Times New Roman" w:cs="Times New Roman"/>
          <w:color w:val="000000"/>
          <w:sz w:val="24"/>
          <w:szCs w:val="24"/>
          <w:lang w:eastAsia="pt-BR"/>
        </w:rPr>
        <w:t>HRP-rabbit anti-goat</w:t>
      </w:r>
      <w:r w:rsidRPr="000A438B">
        <w:rPr>
          <w:rFonts w:ascii="Times New Roman" w:hAnsi="Times New Roman" w:cs="Times New Roman"/>
          <w:sz w:val="24"/>
          <w:szCs w:val="24"/>
        </w:rPr>
        <w:t xml:space="preserve"> (Invitrogen, A16142, 1:1000)</w:t>
      </w:r>
      <w:r w:rsidRPr="000A438B">
        <w:rPr>
          <w:rFonts w:ascii="Times New Roman" w:hAnsi="Times New Roman" w:cs="Times New Roman"/>
          <w:color w:val="000000"/>
          <w:sz w:val="24"/>
          <w:szCs w:val="24"/>
          <w:lang w:eastAsia="pt-BR"/>
        </w:rPr>
        <w:t xml:space="preserve"> por duas horas em temperatura ambiente. Decorrido este tempo, as membranas serão lavadas três vezes, duração de 10 min cada, com TBST. Enfim, adicion</w:t>
      </w:r>
      <w:r>
        <w:rPr>
          <w:rFonts w:ascii="Times New Roman" w:hAnsi="Times New Roman" w:cs="Times New Roman"/>
          <w:color w:val="000000"/>
          <w:sz w:val="24"/>
          <w:szCs w:val="24"/>
          <w:lang w:eastAsia="pt-BR"/>
        </w:rPr>
        <w:t>ar</w:t>
      </w:r>
      <w:r w:rsidRPr="000A438B">
        <w:rPr>
          <w:rFonts w:ascii="Times New Roman" w:hAnsi="Times New Roman" w:cs="Times New Roman"/>
          <w:color w:val="000000"/>
          <w:sz w:val="24"/>
          <w:szCs w:val="24"/>
          <w:lang w:eastAsia="pt-BR"/>
        </w:rPr>
        <w:t>-se</w:t>
      </w:r>
      <w:r>
        <w:rPr>
          <w:rFonts w:ascii="Times New Roman" w:hAnsi="Times New Roman" w:cs="Times New Roman"/>
          <w:color w:val="000000"/>
          <w:sz w:val="24"/>
          <w:szCs w:val="24"/>
          <w:lang w:eastAsia="pt-BR"/>
        </w:rPr>
        <w:t>-á</w:t>
      </w:r>
      <w:r w:rsidRPr="000A438B">
        <w:rPr>
          <w:rFonts w:ascii="Times New Roman" w:hAnsi="Times New Roman" w:cs="Times New Roman"/>
          <w:color w:val="000000"/>
          <w:sz w:val="24"/>
          <w:szCs w:val="24"/>
          <w:lang w:eastAsia="pt-BR"/>
        </w:rPr>
        <w:t xml:space="preserve"> o reagente de quimioluminescência (BioRad, EUA, </w:t>
      </w:r>
      <w:r w:rsidRPr="000A438B">
        <w:rPr>
          <w:rFonts w:ascii="Times New Roman" w:hAnsi="Times New Roman" w:cs="Times New Roman"/>
          <w:i/>
          <w:color w:val="000000"/>
          <w:sz w:val="24"/>
          <w:szCs w:val="24"/>
          <w:lang w:eastAsia="pt-BR"/>
        </w:rPr>
        <w:t>Clarity western ECL blotting substrate</w:t>
      </w:r>
      <w:r w:rsidRPr="000A438B">
        <w:rPr>
          <w:rFonts w:ascii="Times New Roman" w:hAnsi="Times New Roman" w:cs="Times New Roman"/>
          <w:color w:val="000000"/>
          <w:sz w:val="24"/>
          <w:szCs w:val="24"/>
          <w:lang w:eastAsia="pt-BR"/>
        </w:rPr>
        <w:t xml:space="preserve">) e as membranas </w:t>
      </w:r>
      <w:r>
        <w:rPr>
          <w:rFonts w:ascii="Times New Roman" w:hAnsi="Times New Roman" w:cs="Times New Roman"/>
          <w:color w:val="000000"/>
          <w:sz w:val="24"/>
          <w:szCs w:val="24"/>
          <w:lang w:eastAsia="pt-BR"/>
        </w:rPr>
        <w:t>serão</w:t>
      </w:r>
      <w:r w:rsidRPr="000A438B">
        <w:rPr>
          <w:rFonts w:ascii="Times New Roman" w:hAnsi="Times New Roman" w:cs="Times New Roman"/>
          <w:color w:val="000000"/>
          <w:sz w:val="24"/>
          <w:szCs w:val="24"/>
          <w:lang w:eastAsia="pt-BR"/>
        </w:rPr>
        <w:t xml:space="preserve"> </w:t>
      </w:r>
      <w:r w:rsidRPr="000A438B">
        <w:rPr>
          <w:rFonts w:ascii="Times New Roman" w:hAnsi="Times New Roman" w:cs="Times New Roman"/>
          <w:color w:val="000000"/>
          <w:sz w:val="24"/>
          <w:szCs w:val="24"/>
          <w:lang w:eastAsia="pt-BR"/>
        </w:rPr>
        <w:t xml:space="preserve">agitadas por 5 min. As imagens das bandas </w:t>
      </w:r>
      <w:r>
        <w:rPr>
          <w:rFonts w:ascii="Times New Roman" w:hAnsi="Times New Roman" w:cs="Times New Roman"/>
          <w:color w:val="000000"/>
          <w:sz w:val="24"/>
          <w:szCs w:val="24"/>
          <w:lang w:eastAsia="pt-BR"/>
        </w:rPr>
        <w:t>serão</w:t>
      </w:r>
      <w:r w:rsidRPr="000A438B">
        <w:rPr>
          <w:rFonts w:ascii="Times New Roman" w:hAnsi="Times New Roman" w:cs="Times New Roman"/>
          <w:color w:val="000000"/>
          <w:sz w:val="24"/>
          <w:szCs w:val="24"/>
          <w:lang w:eastAsia="pt-BR"/>
        </w:rPr>
        <w:t xml:space="preserve"> </w:t>
      </w:r>
      <w:r w:rsidRPr="000A438B">
        <w:rPr>
          <w:rFonts w:ascii="Times New Roman" w:hAnsi="Times New Roman" w:cs="Times New Roman"/>
          <w:color w:val="000000"/>
          <w:sz w:val="24"/>
          <w:szCs w:val="24"/>
          <w:lang w:eastAsia="pt-BR"/>
        </w:rPr>
        <w:t xml:space="preserve">capturadas por um sistema de  ChemiDoc XRS (BioRad, EUA) .A densidade das bandas </w:t>
      </w:r>
      <w:r>
        <w:rPr>
          <w:rFonts w:ascii="Times New Roman" w:hAnsi="Times New Roman" w:cs="Times New Roman"/>
          <w:color w:val="000000"/>
          <w:sz w:val="24"/>
          <w:szCs w:val="24"/>
          <w:lang w:eastAsia="pt-BR"/>
        </w:rPr>
        <w:t>será</w:t>
      </w:r>
      <w:r w:rsidRPr="000A438B">
        <w:rPr>
          <w:rFonts w:ascii="Times New Roman" w:hAnsi="Times New Roman" w:cs="Times New Roman"/>
          <w:color w:val="000000"/>
          <w:sz w:val="24"/>
          <w:szCs w:val="24"/>
          <w:lang w:eastAsia="pt-BR"/>
        </w:rPr>
        <w:t xml:space="preserve"> </w:t>
      </w:r>
      <w:r w:rsidRPr="000A438B">
        <w:rPr>
          <w:rFonts w:ascii="Times New Roman" w:hAnsi="Times New Roman" w:cs="Times New Roman"/>
          <w:color w:val="000000"/>
          <w:sz w:val="24"/>
          <w:szCs w:val="24"/>
          <w:lang w:eastAsia="pt-BR"/>
        </w:rPr>
        <w:t>mensurada por meio do software ImageJ (NIH, Bethesda, MD, EUA).</w:t>
      </w:r>
    </w:p>
    <w:p w:rsidR="006F5677" w:rsidRDefault="006F5677" w:rsidP="006F5677">
      <w:pPr>
        <w:ind w:left="720"/>
        <w:rPr>
          <w:rFonts w:ascii="Times New Roman" w:hAnsi="Times New Roman"/>
          <w:b/>
          <w:sz w:val="24"/>
          <w:szCs w:val="24"/>
        </w:rPr>
      </w:pPr>
    </w:p>
    <w:p w:rsidR="006F5677" w:rsidRPr="00667DAA" w:rsidRDefault="006F5677" w:rsidP="006F5677">
      <w:pPr>
        <w:spacing w:line="360" w:lineRule="auto"/>
        <w:jc w:val="both"/>
        <w:rPr>
          <w:rFonts w:ascii="Times New Roman" w:eastAsia="Times New Roman" w:hAnsi="Times New Roman" w:cs="Times New Roman"/>
          <w:b/>
          <w:sz w:val="24"/>
          <w:szCs w:val="24"/>
          <w:lang w:eastAsia="pt-BR"/>
        </w:rPr>
      </w:pPr>
      <w:r w:rsidRPr="00667DAA">
        <w:rPr>
          <w:rFonts w:ascii="Times New Roman" w:eastAsia="Times New Roman" w:hAnsi="Times New Roman" w:cs="Times New Roman"/>
          <w:b/>
          <w:sz w:val="24"/>
          <w:szCs w:val="24"/>
          <w:lang w:eastAsia="pt-BR"/>
        </w:rPr>
        <w:t>3.9 Análise estatística</w:t>
      </w:r>
    </w:p>
    <w:p w:rsidR="006F5677" w:rsidRPr="00667DAA" w:rsidRDefault="006F5677" w:rsidP="006F5677">
      <w:pPr>
        <w:spacing w:line="360" w:lineRule="auto"/>
        <w:ind w:left="1068"/>
        <w:jc w:val="both"/>
        <w:rPr>
          <w:rFonts w:ascii="Times New Roman" w:eastAsia="Times New Roman" w:hAnsi="Times New Roman" w:cs="Times New Roman"/>
          <w:sz w:val="24"/>
          <w:szCs w:val="24"/>
          <w:lang w:eastAsia="pt-BR"/>
        </w:rPr>
      </w:pPr>
    </w:p>
    <w:p w:rsidR="006F5677" w:rsidRDefault="006F5677" w:rsidP="006F5677">
      <w:pPr>
        <w:spacing w:line="360" w:lineRule="auto"/>
        <w:ind w:firstLine="709"/>
        <w:jc w:val="both"/>
        <w:rPr>
          <w:rFonts w:ascii="Times New Roman" w:hAnsi="Times New Roman" w:cs="Times New Roman"/>
          <w:color w:val="000000"/>
          <w:sz w:val="24"/>
          <w:szCs w:val="24"/>
        </w:rPr>
      </w:pPr>
      <w:r w:rsidRPr="00667DAA">
        <w:rPr>
          <w:rFonts w:ascii="Times New Roman" w:hAnsi="Times New Roman" w:cs="Times New Roman"/>
          <w:color w:val="000000"/>
          <w:sz w:val="24"/>
          <w:szCs w:val="24"/>
        </w:rPr>
        <w:t>Será utilizada ANOVA e teste de Student Newman Keuls para os testes paramétricos. O programa de computador será o GraphPad Prism 5.0. O critério de significância será p&lt; 0,05.</w:t>
      </w:r>
    </w:p>
    <w:p w:rsidR="004530B0" w:rsidRDefault="004530B0"/>
    <w:sectPr w:rsidR="004530B0" w:rsidSect="0057285D">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Francisco Felix" w:date="2016-06-26T12:56:00Z" w:initials="FF">
    <w:p w:rsidR="006F5677" w:rsidRDefault="006F5677" w:rsidP="006F5677">
      <w:pPr>
        <w:pStyle w:val="CommentText"/>
      </w:pPr>
      <w:r>
        <w:rPr>
          <w:rStyle w:val="CommentReference"/>
        </w:rPr>
        <w:annotationRef/>
      </w:r>
      <w:r>
        <w:t>??????</w:t>
      </w:r>
    </w:p>
  </w:comment>
  <w:comment w:id="2" w:author="Francisco Felix" w:date="2016-06-26T12:56:00Z" w:initials="FF">
    <w:p w:rsidR="006F5677" w:rsidRDefault="006F5677" w:rsidP="006F5677">
      <w:pPr>
        <w:pStyle w:val="CommentText"/>
      </w:pPr>
      <w:r>
        <w:rPr>
          <w:rStyle w:val="CommentReference"/>
        </w:rPr>
        <w:annotationRef/>
      </w:r>
      <w:r>
        <w:t>labirinto em Y</w:t>
      </w:r>
    </w:p>
  </w:comment>
  <w:comment w:id="3" w:author="Francisco Felix" w:date="2016-06-26T12:56:00Z" w:initials="FF">
    <w:p w:rsidR="006F5677" w:rsidRDefault="006F5677" w:rsidP="006F5677">
      <w:pPr>
        <w:pStyle w:val="CommentText"/>
      </w:pPr>
      <w:r>
        <w:rPr>
          <w:rStyle w:val="CommentReference"/>
        </w:rPr>
        <w:annotationRef/>
      </w:r>
      <w:r>
        <w:t>serão?!?!?</w:t>
      </w:r>
    </w:p>
  </w:comment>
  <w:comment w:id="4" w:author="Francisco Felix" w:date="2016-06-26T12:56:00Z" w:initials="FF">
    <w:p w:rsidR="006F5677" w:rsidRDefault="006F5677" w:rsidP="006F5677">
      <w:pPr>
        <w:pStyle w:val="CommentText"/>
      </w:pPr>
      <w:r>
        <w:rPr>
          <w:rStyle w:val="CommentReference"/>
        </w:rPr>
        <w:annotationRef/>
      </w:r>
      <w:r>
        <w:t>Este trecho parece ser resultado de outro trabalho!</w:t>
      </w:r>
    </w:p>
  </w:comment>
  <w:comment w:id="5" w:author="Francisco Felix" w:date="2016-06-26T12:56:00Z" w:initials="FF">
    <w:p w:rsidR="006F5677" w:rsidRDefault="006F5677" w:rsidP="006F5677">
      <w:pPr>
        <w:pStyle w:val="CommentText"/>
      </w:pPr>
      <w:r>
        <w:rPr>
          <w:rStyle w:val="CommentReference"/>
        </w:rPr>
        <w:annotationRef/>
      </w:r>
      <w:r>
        <w:t>idem</w:t>
      </w:r>
    </w:p>
  </w:comment>
  <w:comment w:id="6" w:author="Francisco Felix" w:date="2016-06-26T12:56:00Z" w:initials="FF">
    <w:p w:rsidR="006F5677" w:rsidRDefault="006F5677" w:rsidP="006F5677">
      <w:pPr>
        <w:pStyle w:val="CommentText"/>
      </w:pPr>
      <w:r>
        <w:rPr>
          <w:rStyle w:val="CommentReference"/>
        </w:rPr>
        <w:annotationRef/>
      </w:r>
      <w:r>
        <w:t>opa!!!! Óleos essenciais?!?!?!</w:t>
      </w:r>
    </w:p>
  </w:comment>
  <w:comment w:id="7" w:author="Francisco Felix" w:date="2016-06-26T12:56:00Z" w:initials="FF">
    <w:p w:rsidR="006F5677" w:rsidRDefault="006F5677" w:rsidP="006F5677">
      <w:pPr>
        <w:pStyle w:val="CommentText"/>
      </w:pPr>
      <w:r>
        <w:rPr>
          <w:rStyle w:val="CommentReference"/>
        </w:rPr>
        <w:annotationRef/>
      </w:r>
      <w:r>
        <w:t>Corrigir toda essa metodologia para o projeto atual, está como foi tirada de outro trabalho</w:t>
      </w:r>
    </w:p>
  </w:comment>
  <w:comment w:id="8" w:author="Francisco Felix" w:date="2016-06-26T12:56:00Z" w:initials="FF">
    <w:p w:rsidR="006F5677" w:rsidRDefault="006F5677" w:rsidP="006F5677">
      <w:pPr>
        <w:pStyle w:val="CommentText"/>
      </w:pPr>
      <w:r>
        <w:rPr>
          <w:rStyle w:val="CommentReference"/>
        </w:rPr>
        <w:annotationRef/>
      </w:r>
      <w:r>
        <w:t>Verbos no passado: corrija, vc ainda vai fazer!</w:t>
      </w:r>
    </w:p>
  </w:comment>
  <w:comment w:id="9" w:author="Francisco Felix" w:date="2016-06-26T12:56:00Z" w:initials="FF">
    <w:p w:rsidR="006F5677" w:rsidRDefault="006F5677" w:rsidP="006F5677">
      <w:pPr>
        <w:pStyle w:val="CommentText"/>
      </w:pPr>
      <w:r>
        <w:rPr>
          <w:rStyle w:val="CommentReference"/>
        </w:rPr>
        <w:annotationRef/>
      </w:r>
      <w:r>
        <w:t>Falta algo aqui?</w:t>
      </w:r>
    </w:p>
  </w:comment>
  <w:comment w:id="11" w:author="Francisco Felix" w:date="2016-06-26T12:56:00Z" w:initials="FF">
    <w:p w:rsidR="006F5677" w:rsidRDefault="006F5677" w:rsidP="006F5677">
      <w:pPr>
        <w:pStyle w:val="CommentText"/>
      </w:pPr>
      <w:r>
        <w:rPr>
          <w:rStyle w:val="CommentReference"/>
        </w:rPr>
        <w:annotationRef/>
      </w:r>
      <w:r>
        <w:t>Nitrogênio líquido?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F444F"/>
    <w:multiLevelType w:val="multilevel"/>
    <w:tmpl w:val="8752CB0A"/>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21D2386"/>
    <w:multiLevelType w:val="multilevel"/>
    <w:tmpl w:val="AF46C0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677"/>
    <w:rsid w:val="004530B0"/>
    <w:rsid w:val="0057285D"/>
    <w:rsid w:val="006F567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6E5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677"/>
    <w:pPr>
      <w:spacing w:after="200" w:line="276" w:lineRule="auto"/>
    </w:pPr>
    <w:rPr>
      <w:rFonts w:eastAsiaTheme="minorHAnsi"/>
      <w:sz w:val="22"/>
      <w:szCs w:val="22"/>
    </w:rPr>
  </w:style>
  <w:style w:type="paragraph" w:styleId="Heading2">
    <w:name w:val="heading 2"/>
    <w:basedOn w:val="Normal"/>
    <w:next w:val="Normal"/>
    <w:link w:val="Heading2Char"/>
    <w:uiPriority w:val="9"/>
    <w:unhideWhenUsed/>
    <w:qFormat/>
    <w:rsid w:val="006F56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56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6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5677"/>
    <w:rPr>
      <w:rFonts w:asciiTheme="majorHAnsi" w:eastAsiaTheme="majorEastAsia" w:hAnsiTheme="majorHAnsi" w:cstheme="majorBidi"/>
      <w:b/>
      <w:bCs/>
      <w:color w:val="4F81BD" w:themeColor="accent1"/>
      <w:sz w:val="22"/>
      <w:szCs w:val="22"/>
    </w:rPr>
  </w:style>
  <w:style w:type="paragraph" w:styleId="ListParagraph">
    <w:name w:val="List Paragraph"/>
    <w:basedOn w:val="Normal"/>
    <w:uiPriority w:val="34"/>
    <w:qFormat/>
    <w:rsid w:val="006F5677"/>
    <w:pPr>
      <w:ind w:left="720"/>
      <w:contextualSpacing/>
    </w:pPr>
    <w:rPr>
      <w:rFonts w:ascii="Calibri" w:eastAsia="Calibri" w:hAnsi="Calibri" w:cs="Times New Roman"/>
    </w:rPr>
  </w:style>
  <w:style w:type="paragraph" w:styleId="BodyText">
    <w:name w:val="Body Text"/>
    <w:basedOn w:val="Normal"/>
    <w:link w:val="BodyTextChar"/>
    <w:rsid w:val="006F5677"/>
    <w:pPr>
      <w:spacing w:after="0" w:line="240" w:lineRule="auto"/>
      <w:jc w:val="both"/>
    </w:pPr>
    <w:rPr>
      <w:rFonts w:ascii="Times New Roman" w:eastAsia="Times New Roman" w:hAnsi="Times New Roman" w:cs="Times New Roman"/>
      <w:sz w:val="24"/>
      <w:szCs w:val="20"/>
      <w:lang w:eastAsia="pt-BR"/>
    </w:rPr>
  </w:style>
  <w:style w:type="character" w:customStyle="1" w:styleId="BodyTextChar">
    <w:name w:val="Body Text Char"/>
    <w:basedOn w:val="DefaultParagraphFont"/>
    <w:link w:val="BodyText"/>
    <w:rsid w:val="006F5677"/>
    <w:rPr>
      <w:rFonts w:ascii="Times New Roman" w:eastAsia="Times New Roman" w:hAnsi="Times New Roman" w:cs="Times New Roman"/>
      <w:szCs w:val="20"/>
      <w:lang w:eastAsia="pt-BR"/>
    </w:rPr>
  </w:style>
  <w:style w:type="paragraph" w:customStyle="1" w:styleId="svarticle">
    <w:name w:val="svarticle"/>
    <w:basedOn w:val="Normal"/>
    <w:rsid w:val="006F567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BodyTextIndent">
    <w:name w:val="Body Text Indent"/>
    <w:basedOn w:val="Normal"/>
    <w:link w:val="BodyTextIndentChar"/>
    <w:uiPriority w:val="99"/>
    <w:unhideWhenUsed/>
    <w:rsid w:val="006F5677"/>
    <w:pPr>
      <w:spacing w:after="120"/>
      <w:ind w:left="283"/>
    </w:pPr>
  </w:style>
  <w:style w:type="character" w:customStyle="1" w:styleId="BodyTextIndentChar">
    <w:name w:val="Body Text Indent Char"/>
    <w:basedOn w:val="DefaultParagraphFont"/>
    <w:link w:val="BodyTextIndent"/>
    <w:uiPriority w:val="99"/>
    <w:rsid w:val="006F5677"/>
    <w:rPr>
      <w:rFonts w:eastAsiaTheme="minorHAnsi"/>
      <w:sz w:val="22"/>
      <w:szCs w:val="22"/>
    </w:rPr>
  </w:style>
  <w:style w:type="paragraph" w:customStyle="1" w:styleId="Corpodetexto22">
    <w:name w:val="Corpo de texto 22"/>
    <w:basedOn w:val="Normal"/>
    <w:rsid w:val="006F5677"/>
    <w:pPr>
      <w:suppressAutoHyphens/>
      <w:spacing w:after="120" w:line="480" w:lineRule="auto"/>
    </w:pPr>
    <w:rPr>
      <w:rFonts w:ascii="Times New Roman" w:eastAsia="Times New Roman" w:hAnsi="Times New Roman" w:cs="Times New Roman"/>
      <w:sz w:val="24"/>
      <w:szCs w:val="24"/>
      <w:lang w:eastAsia="ar-SA"/>
    </w:rPr>
  </w:style>
  <w:style w:type="paragraph" w:styleId="CommentText">
    <w:name w:val="annotation text"/>
    <w:basedOn w:val="Normal"/>
    <w:link w:val="CommentTextChar"/>
    <w:uiPriority w:val="99"/>
    <w:unhideWhenUsed/>
    <w:rsid w:val="006F5677"/>
    <w:rPr>
      <w:rFonts w:ascii="Calibri" w:eastAsia="Calibri" w:hAnsi="Calibri" w:cs="Times New Roman"/>
      <w:sz w:val="20"/>
      <w:szCs w:val="20"/>
      <w:lang w:val="x-none" w:eastAsia="x-none"/>
    </w:rPr>
  </w:style>
  <w:style w:type="character" w:customStyle="1" w:styleId="CommentTextChar">
    <w:name w:val="Comment Text Char"/>
    <w:basedOn w:val="DefaultParagraphFont"/>
    <w:link w:val="CommentText"/>
    <w:uiPriority w:val="99"/>
    <w:rsid w:val="006F5677"/>
    <w:rPr>
      <w:rFonts w:ascii="Calibri" w:eastAsia="Calibri" w:hAnsi="Calibri" w:cs="Times New Roman"/>
      <w:sz w:val="20"/>
      <w:szCs w:val="20"/>
      <w:lang w:val="x-none" w:eastAsia="x-none"/>
    </w:rPr>
  </w:style>
  <w:style w:type="paragraph" w:styleId="Caption">
    <w:name w:val="caption"/>
    <w:basedOn w:val="Normal"/>
    <w:next w:val="Normal"/>
    <w:unhideWhenUsed/>
    <w:qFormat/>
    <w:rsid w:val="006F5677"/>
    <w:pPr>
      <w:spacing w:line="240" w:lineRule="auto"/>
    </w:pPr>
    <w:rPr>
      <w:rFonts w:ascii="Calibri" w:eastAsia="Times New Roman" w:hAnsi="Calibri" w:cs="Times New Roman"/>
      <w:b/>
      <w:bCs/>
      <w:color w:val="4F81BD"/>
      <w:sz w:val="18"/>
      <w:szCs w:val="18"/>
      <w:lang w:eastAsia="pt-BR"/>
    </w:rPr>
  </w:style>
  <w:style w:type="paragraph" w:styleId="NormalWeb">
    <w:name w:val="Normal (Web)"/>
    <w:basedOn w:val="Normal"/>
    <w:uiPriority w:val="99"/>
    <w:rsid w:val="006F5677"/>
    <w:pPr>
      <w:spacing w:before="280" w:after="280" w:line="240" w:lineRule="auto"/>
    </w:pPr>
    <w:rPr>
      <w:rFonts w:ascii="Times New Roman" w:eastAsia="Times New Roman" w:hAnsi="Times New Roman" w:cs="Times New Roman"/>
      <w:sz w:val="24"/>
      <w:szCs w:val="24"/>
      <w:lang w:eastAsia="zh-CN"/>
    </w:rPr>
  </w:style>
  <w:style w:type="character" w:styleId="CommentReference">
    <w:name w:val="annotation reference"/>
    <w:basedOn w:val="DefaultParagraphFont"/>
    <w:uiPriority w:val="99"/>
    <w:semiHidden/>
    <w:unhideWhenUsed/>
    <w:rsid w:val="006F5677"/>
    <w:rPr>
      <w:sz w:val="18"/>
      <w:szCs w:val="18"/>
    </w:rPr>
  </w:style>
  <w:style w:type="paragraph" w:styleId="BalloonText">
    <w:name w:val="Balloon Text"/>
    <w:basedOn w:val="Normal"/>
    <w:link w:val="BalloonTextChar"/>
    <w:uiPriority w:val="99"/>
    <w:semiHidden/>
    <w:unhideWhenUsed/>
    <w:rsid w:val="006F56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5677"/>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677"/>
    <w:pPr>
      <w:spacing w:after="200" w:line="276" w:lineRule="auto"/>
    </w:pPr>
    <w:rPr>
      <w:rFonts w:eastAsiaTheme="minorHAnsi"/>
      <w:sz w:val="22"/>
      <w:szCs w:val="22"/>
    </w:rPr>
  </w:style>
  <w:style w:type="paragraph" w:styleId="Heading2">
    <w:name w:val="heading 2"/>
    <w:basedOn w:val="Normal"/>
    <w:next w:val="Normal"/>
    <w:link w:val="Heading2Char"/>
    <w:uiPriority w:val="9"/>
    <w:unhideWhenUsed/>
    <w:qFormat/>
    <w:rsid w:val="006F56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56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6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5677"/>
    <w:rPr>
      <w:rFonts w:asciiTheme="majorHAnsi" w:eastAsiaTheme="majorEastAsia" w:hAnsiTheme="majorHAnsi" w:cstheme="majorBidi"/>
      <w:b/>
      <w:bCs/>
      <w:color w:val="4F81BD" w:themeColor="accent1"/>
      <w:sz w:val="22"/>
      <w:szCs w:val="22"/>
    </w:rPr>
  </w:style>
  <w:style w:type="paragraph" w:styleId="ListParagraph">
    <w:name w:val="List Paragraph"/>
    <w:basedOn w:val="Normal"/>
    <w:uiPriority w:val="34"/>
    <w:qFormat/>
    <w:rsid w:val="006F5677"/>
    <w:pPr>
      <w:ind w:left="720"/>
      <w:contextualSpacing/>
    </w:pPr>
    <w:rPr>
      <w:rFonts w:ascii="Calibri" w:eastAsia="Calibri" w:hAnsi="Calibri" w:cs="Times New Roman"/>
    </w:rPr>
  </w:style>
  <w:style w:type="paragraph" w:styleId="BodyText">
    <w:name w:val="Body Text"/>
    <w:basedOn w:val="Normal"/>
    <w:link w:val="BodyTextChar"/>
    <w:rsid w:val="006F5677"/>
    <w:pPr>
      <w:spacing w:after="0" w:line="240" w:lineRule="auto"/>
      <w:jc w:val="both"/>
    </w:pPr>
    <w:rPr>
      <w:rFonts w:ascii="Times New Roman" w:eastAsia="Times New Roman" w:hAnsi="Times New Roman" w:cs="Times New Roman"/>
      <w:sz w:val="24"/>
      <w:szCs w:val="20"/>
      <w:lang w:eastAsia="pt-BR"/>
    </w:rPr>
  </w:style>
  <w:style w:type="character" w:customStyle="1" w:styleId="BodyTextChar">
    <w:name w:val="Body Text Char"/>
    <w:basedOn w:val="DefaultParagraphFont"/>
    <w:link w:val="BodyText"/>
    <w:rsid w:val="006F5677"/>
    <w:rPr>
      <w:rFonts w:ascii="Times New Roman" w:eastAsia="Times New Roman" w:hAnsi="Times New Roman" w:cs="Times New Roman"/>
      <w:szCs w:val="20"/>
      <w:lang w:eastAsia="pt-BR"/>
    </w:rPr>
  </w:style>
  <w:style w:type="paragraph" w:customStyle="1" w:styleId="svarticle">
    <w:name w:val="svarticle"/>
    <w:basedOn w:val="Normal"/>
    <w:rsid w:val="006F567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BodyTextIndent">
    <w:name w:val="Body Text Indent"/>
    <w:basedOn w:val="Normal"/>
    <w:link w:val="BodyTextIndentChar"/>
    <w:uiPriority w:val="99"/>
    <w:unhideWhenUsed/>
    <w:rsid w:val="006F5677"/>
    <w:pPr>
      <w:spacing w:after="120"/>
      <w:ind w:left="283"/>
    </w:pPr>
  </w:style>
  <w:style w:type="character" w:customStyle="1" w:styleId="BodyTextIndentChar">
    <w:name w:val="Body Text Indent Char"/>
    <w:basedOn w:val="DefaultParagraphFont"/>
    <w:link w:val="BodyTextIndent"/>
    <w:uiPriority w:val="99"/>
    <w:rsid w:val="006F5677"/>
    <w:rPr>
      <w:rFonts w:eastAsiaTheme="minorHAnsi"/>
      <w:sz w:val="22"/>
      <w:szCs w:val="22"/>
    </w:rPr>
  </w:style>
  <w:style w:type="paragraph" w:customStyle="1" w:styleId="Corpodetexto22">
    <w:name w:val="Corpo de texto 22"/>
    <w:basedOn w:val="Normal"/>
    <w:rsid w:val="006F5677"/>
    <w:pPr>
      <w:suppressAutoHyphens/>
      <w:spacing w:after="120" w:line="480" w:lineRule="auto"/>
    </w:pPr>
    <w:rPr>
      <w:rFonts w:ascii="Times New Roman" w:eastAsia="Times New Roman" w:hAnsi="Times New Roman" w:cs="Times New Roman"/>
      <w:sz w:val="24"/>
      <w:szCs w:val="24"/>
      <w:lang w:eastAsia="ar-SA"/>
    </w:rPr>
  </w:style>
  <w:style w:type="paragraph" w:styleId="CommentText">
    <w:name w:val="annotation text"/>
    <w:basedOn w:val="Normal"/>
    <w:link w:val="CommentTextChar"/>
    <w:uiPriority w:val="99"/>
    <w:unhideWhenUsed/>
    <w:rsid w:val="006F5677"/>
    <w:rPr>
      <w:rFonts w:ascii="Calibri" w:eastAsia="Calibri" w:hAnsi="Calibri" w:cs="Times New Roman"/>
      <w:sz w:val="20"/>
      <w:szCs w:val="20"/>
      <w:lang w:val="x-none" w:eastAsia="x-none"/>
    </w:rPr>
  </w:style>
  <w:style w:type="character" w:customStyle="1" w:styleId="CommentTextChar">
    <w:name w:val="Comment Text Char"/>
    <w:basedOn w:val="DefaultParagraphFont"/>
    <w:link w:val="CommentText"/>
    <w:uiPriority w:val="99"/>
    <w:rsid w:val="006F5677"/>
    <w:rPr>
      <w:rFonts w:ascii="Calibri" w:eastAsia="Calibri" w:hAnsi="Calibri" w:cs="Times New Roman"/>
      <w:sz w:val="20"/>
      <w:szCs w:val="20"/>
      <w:lang w:val="x-none" w:eastAsia="x-none"/>
    </w:rPr>
  </w:style>
  <w:style w:type="paragraph" w:styleId="Caption">
    <w:name w:val="caption"/>
    <w:basedOn w:val="Normal"/>
    <w:next w:val="Normal"/>
    <w:unhideWhenUsed/>
    <w:qFormat/>
    <w:rsid w:val="006F5677"/>
    <w:pPr>
      <w:spacing w:line="240" w:lineRule="auto"/>
    </w:pPr>
    <w:rPr>
      <w:rFonts w:ascii="Calibri" w:eastAsia="Times New Roman" w:hAnsi="Calibri" w:cs="Times New Roman"/>
      <w:b/>
      <w:bCs/>
      <w:color w:val="4F81BD"/>
      <w:sz w:val="18"/>
      <w:szCs w:val="18"/>
      <w:lang w:eastAsia="pt-BR"/>
    </w:rPr>
  </w:style>
  <w:style w:type="paragraph" w:styleId="NormalWeb">
    <w:name w:val="Normal (Web)"/>
    <w:basedOn w:val="Normal"/>
    <w:uiPriority w:val="99"/>
    <w:rsid w:val="006F5677"/>
    <w:pPr>
      <w:spacing w:before="280" w:after="280" w:line="240" w:lineRule="auto"/>
    </w:pPr>
    <w:rPr>
      <w:rFonts w:ascii="Times New Roman" w:eastAsia="Times New Roman" w:hAnsi="Times New Roman" w:cs="Times New Roman"/>
      <w:sz w:val="24"/>
      <w:szCs w:val="24"/>
      <w:lang w:eastAsia="zh-CN"/>
    </w:rPr>
  </w:style>
  <w:style w:type="character" w:styleId="CommentReference">
    <w:name w:val="annotation reference"/>
    <w:basedOn w:val="DefaultParagraphFont"/>
    <w:uiPriority w:val="99"/>
    <w:semiHidden/>
    <w:unhideWhenUsed/>
    <w:rsid w:val="006F5677"/>
    <w:rPr>
      <w:sz w:val="18"/>
      <w:szCs w:val="18"/>
    </w:rPr>
  </w:style>
  <w:style w:type="paragraph" w:styleId="BalloonText">
    <w:name w:val="Balloon Text"/>
    <w:basedOn w:val="Normal"/>
    <w:link w:val="BalloonTextChar"/>
    <w:uiPriority w:val="99"/>
    <w:semiHidden/>
    <w:unhideWhenUsed/>
    <w:rsid w:val="006F56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5677"/>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3940</Words>
  <Characters>22460</Characters>
  <Application>Microsoft Macintosh Word</Application>
  <DocSecurity>0</DocSecurity>
  <Lines>187</Lines>
  <Paragraphs>52</Paragraphs>
  <ScaleCrop>false</ScaleCrop>
  <Company>FHC</Company>
  <LinksUpToDate>false</LinksUpToDate>
  <CharactersWithSpaces>26348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Felix</dc:creator>
  <cp:keywords/>
  <dc:description/>
  <cp:lastModifiedBy>Francisco Felix</cp:lastModifiedBy>
  <cp:revision>1</cp:revision>
  <dcterms:created xsi:type="dcterms:W3CDTF">2016-06-26T15:56:00Z</dcterms:created>
  <dcterms:modified xsi:type="dcterms:W3CDTF">2016-06-26T15:57:00Z</dcterms:modified>
</cp:coreProperties>
</file>