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Meridian — Project Charter (Excerpt)</w:t>
      </w:r>
    </w:p>
    <w:p>
      <w:r>
        <w:rPr>
          <w:b/>
        </w:rPr>
        <w:t xml:space="preserve">Document: </w:t>
      </w:r>
      <w:r>
        <w:t>Project Charter v1.2 — Section 7 extract</w:t>
      </w:r>
    </w:p>
    <w:p>
      <w:r>
        <w:rPr>
          <w:b/>
        </w:rPr>
        <w:t xml:space="preserve">Sponsor: </w:t>
      </w:r>
      <w:r>
        <w:t>Marcus Alvarez, Chief Operating Officer</w:t>
      </w:r>
    </w:p>
    <w:p>
      <w:r>
        <w:rPr>
          <w:b/>
        </w:rPr>
        <w:t xml:space="preserve">Programme: </w:t>
      </w:r>
      <w:r>
        <w:t>CRM Modernisation</w:t>
      </w:r>
    </w:p>
    <w:p>
      <w:pPr>
        <w:pStyle w:val="Heading1"/>
      </w:pPr>
      <w:r>
        <w:t>7. Initial Risk Assessment</w:t>
      </w:r>
    </w:p>
    <w:p>
      <w:r>
        <w:t>At charter approval the steering committee recorded the following strategic risks to be actively managed by the programme. These are reviewed at each stage gate.</w:t>
      </w:r>
    </w:p>
    <w:p>
      <w:r>
        <w:t>Strategic risk SR-01 (Executive sponsorship continuity). The cause is a pending reorganisation of the operations division. The event is loss of an engaged executive sponsor mid-programme; the effect is stalled decisions and funding uncertainty. Owner: Marcus Alvarez (COO). Response: name a deputy sponsor with delegated authority. Status: open.</w:t>
      </w:r>
    </w:p>
    <w:p>
      <w:r>
        <w:t>Strategic risk SR-02 (Regulatory approval). Brightline operates in a regulated insurance market; the cloud platform must pass an information-security assessment before holding customer data. If approval is delayed, the event is a blocked production cutover, with the effect of a schedule slip beyond the 24-week window. Likelihood Low, impact High. Owner: Sade Okafor (Security Lead). Response: engage the regulator early and book the assessment in Week 14. Status: open.</w:t>
      </w:r>
    </w:p>
    <w:p>
      <w:r>
        <w:t>Strategic risk SR-03 (Legacy decommission dependency). The legacy CRM also feeds the nightly actuarial reporting batch. The cause is a hidden downstream dependency; the event is that decommissioning legacy breaks actuarial reporting; the effect is a gap in regulatory financial reporting. Likelihood Medium, impact High. Owner: Priya Nair (Data Lead). Response: map and re-point the downstream feed before decommission. Status: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