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Register</w:t>
      </w:r>
    </w:p>
    <w:p>
      <w:r>
        <w:t xml:space="preserve">Project: Project Meridian</w:t>
      </w:r>
    </w:p>
    <w:p>
      <w:r>
        <w:t xml:space="preserve">Date: Week 9, Thursday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Risk ID</w:t>
            </w:r>
          </w:p>
        </w:tc>
        <w:tc>
          <w:tcPr>
            <w:tcW w:type="dxa" w:w="864"/>
          </w:tcPr>
          <w:p>
            <w:r>
              <w:t>Cause</w:t>
            </w:r>
          </w:p>
        </w:tc>
        <w:tc>
          <w:tcPr>
            <w:tcW w:type="dxa" w:w="864"/>
          </w:tcPr>
          <w:p>
            <w:r>
              <w:t>Event</w:t>
            </w:r>
          </w:p>
        </w:tc>
        <w:tc>
          <w:tcPr>
            <w:tcW w:type="dxa" w:w="864"/>
          </w:tcPr>
          <w:p>
            <w:r>
              <w:t>Effect</w:t>
            </w:r>
          </w:p>
        </w:tc>
        <w:tc>
          <w:tcPr>
            <w:tcW w:type="dxa" w:w="864"/>
          </w:tcPr>
          <w:p>
            <w:r>
              <w:t>P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Score</w:t>
            </w:r>
          </w:p>
        </w:tc>
        <w:tc>
          <w:tcPr>
            <w:tcW w:type="dxa" w:w="864"/>
          </w:tcPr>
          <w:p>
            <w:r>
              <w:t>Response</w:t>
            </w:r>
          </w:p>
        </w:tc>
        <w:tc>
          <w:tcPr>
            <w:tcW w:type="dxa" w:w="864"/>
          </w:tcPr>
          <w:p>
            <w:r>
              <w:t>Owner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</w:tr>
      <w:tr>
        <w:tc>
          <w:tcPr>
            <w:tcW w:type="dxa" w:w="864"/>
          </w:tcPr>
          <w:p>
            <w:r>
              <w:t xml:space="preserve">M-01</w:t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>High</w:t>
            </w:r>
          </w:p>
        </w:tc>
        <w:tc>
          <w:tcPr>
            <w:tcW w:type="dxa" w:w="864"/>
          </w:tcPr>
          <w:p>
            <w:r>
              <w:t xml:space="preserve">High</w:t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>A deterministic de-duplication pass plus a validation gate that blocks migration if the duplicate rate exceeds 0.5%.</w:t>
            </w:r>
          </w:p>
        </w:tc>
        <w:tc>
          <w:tcPr>
            <w:tcW w:type="dxa" w:w="864"/>
          </w:tcPr>
          <w:p>
            <w:r>
              <w:t xml:space="preserve">Priya Nair (Data Lead)</w:t>
            </w:r>
          </w:p>
        </w:tc>
        <w:tc>
          <w:tcPr>
            <w:tcW w:type="dxa" w:w="864"/>
          </w:tcPr>
          <w:p>
            <w:r>
              <w:t xml:space="preserve">in progress</w:t>
            </w:r>
          </w:p>
        </w:tc>
      </w:tr>
      <w:tr>
        <w:tc>
          <w:tcPr>
            <w:tcW w:type="dxa" w:w="864"/>
          </w:tcPr>
          <w:p>
            <w:r>
              <w:t xml:space="preserve">M-02</w:t>
            </w:r>
          </w:p>
        </w:tc>
        <w:tc>
          <w:tcPr>
            <w:tcW w:type="dxa" w:w="864"/>
          </w:tcPr>
          <w:p>
            <w:r>
              <w:t xml:space="preserve">The contract for the third-party policy-rating API has not been finalised by the vendor, Acme Ratings Ltd.</w:t>
            </w:r>
          </w:p>
        </w:tc>
        <w:tc>
          <w:tcPr>
            <w:tcW w:type="dxa" w:w="864"/>
          </w:tcPr>
          <w:p>
            <w:r>
              <w:t xml:space="preserve">Integration testing in Week 13 cannot start on time.</w:t>
            </w:r>
          </w:p>
        </w:tc>
        <w:tc>
          <w:tcPr>
            <w:tcW w:type="dxa" w:w="864"/>
          </w:tcPr>
          <w:p>
            <w:r>
              <w:t xml:space="preserve">A direct slip to the UAT entry date.</w:t>
            </w:r>
          </w:p>
        </w:tc>
        <w:tc>
          <w:tcPr>
            <w:tcW w:type="dxa" w:w="864"/>
          </w:tcPr>
          <w:p>
            <w:r>
              <w:t xml:space="preserve">Medium</w:t>
            </w:r>
          </w:p>
        </w:tc>
        <w:tc>
          <w:tcPr>
            <w:tcW w:type="dxa" w:w="864"/>
          </w:tcPr>
          <w:p>
            <w:r>
              <w:t xml:space="preserve">High</w:t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>Escalate to vendor account management and prepare a stub-based fallback so internal testing is not blocked.</w:t>
            </w:r>
          </w:p>
        </w:tc>
        <w:tc>
          <w:tcPr>
            <w:tcW w:type="dxa" w:w="864"/>
          </w:tcPr>
          <w:p>
            <w:r>
              <w:t xml:space="preserve">Tom Becker (Integration Lead)</w:t>
            </w:r>
          </w:p>
        </w:tc>
        <w:tc>
          <w:tcPr>
            <w:tcW w:type="dxa" w:w="864"/>
          </w:tcPr>
          <w:p>
            <w:r>
              <w:t xml:space="preserve">open and escalating</w:t>
            </w:r>
          </w:p>
        </w:tc>
      </w:tr>
      <w:tr>
        <w:tc>
          <w:tcPr>
            <w:tcW w:type="dxa" w:w="864"/>
          </w:tcPr>
          <w:p>
            <w:r>
              <w:t xml:space="preserve">M-03</w:t>
            </w:r>
          </w:p>
        </w:tc>
        <w:tc>
          <w:tcPr>
            <w:tcW w:type="dxa" w:w="864"/>
          </w:tcPr>
          <w:p>
            <w:r>
              <w:t xml:space="preserve">An unresolved allocation conflict (two senior engineers shared 50/50 with the parallel Billing programme).</w:t>
            </w:r>
          </w:p>
        </w:tc>
        <w:tc>
          <w:tcPr>
            <w:tcW w:type="dxa" w:w="864"/>
          </w:tcPr>
          <w:p>
            <w:r>
              <w:t xml:space="preserve">Reduced migration throughput.</w:t>
            </w:r>
          </w:p>
        </w:tc>
        <w:tc>
          <w:tcPr>
            <w:tcW w:type="dxa" w:w="864"/>
          </w:tcPr>
          <w:p>
            <w:r>
              <w:t xml:space="preserve">A potential two-week schedule slip.</w:t>
            </w:r>
          </w:p>
        </w:tc>
        <w:tc>
          <w:tcPr>
            <w:tcW w:type="dxa" w:w="864"/>
          </w:tcPr>
          <w:p>
            <w:r>
              <w:t xml:space="preserve">Medium</w:t>
            </w:r>
          </w:p>
        </w:tc>
        <w:tc>
          <w:tcPr>
            <w:tcW w:type="dxa" w:w="864"/>
          </w:tcPr>
          <w:p>
            <w:r>
              <w:t xml:space="preserve">Medium</w:t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>A dedicated-allocation request has been submitted to the resourcing board.</w:t>
            </w:r>
          </w:p>
        </w:tc>
        <w:tc>
          <w:tcPr>
            <w:tcW w:type="dxa" w:w="864"/>
          </w:tcPr>
          <w:p>
            <w:r>
              <w:t xml:space="preserve">Dana Whitfield (PM)</w:t>
            </w:r>
          </w:p>
        </w:tc>
        <w:tc>
          <w:tcPr>
            <w:tcW w:type="dxa" w:w="864"/>
          </w:tcPr>
          <w:p>
            <w:r>
              <w:t xml:space="preserve">mitigating</w:t>
            </w:r>
          </w:p>
        </w:tc>
      </w:tr>
      <w:tr>
        <w:tc>
          <w:tcPr>
            <w:tcW w:type="dxa" w:w="864"/>
          </w:tcPr>
          <w:p>
            <w:r>
              <w:t xml:space="preserve">SR-01</w:t>
            </w:r>
          </w:p>
        </w:tc>
        <w:tc>
          <w:tcPr>
            <w:tcW w:type="dxa" w:w="864"/>
          </w:tcPr>
          <w:p>
            <w:r>
              <w:t xml:space="preserve">An unengaged executive sponsor mid-programme.</w:t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>Stalled decisions and funding uncertainty.</w:t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>Name a deputy sponsor with delegated authority.</w:t>
            </w:r>
          </w:p>
        </w:tc>
        <w:tc>
          <w:tcPr>
            <w:tcW w:type="dxa" w:w="864"/>
          </w:tcPr>
          <w:p>
            <w:r>
              <w:t xml:space="preserve">Marcus Alvarez (COO)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SR-02</w:t>
            </w:r>
          </w:p>
        </w:tc>
        <w:tc>
          <w:tcPr>
            <w:tcW w:type="dxa" w:w="864"/>
          </w:tcPr>
          <w:p>
            <w:r>
              <w:t xml:space="preserve">Brightline operates in a regulated insurance market; the cloud platform must pass an information-security assessment before holding customer data, and approval may be delayed.</w:t>
            </w:r>
          </w:p>
        </w:tc>
        <w:tc>
          <w:tcPr>
            <w:tcW w:type="dxa" w:w="864"/>
          </w:tcPr>
          <w:p>
            <w:r>
              <w:t xml:space="preserve">A blocked production cutover.</w:t>
            </w:r>
          </w:p>
        </w:tc>
        <w:tc>
          <w:tcPr>
            <w:tcW w:type="dxa" w:w="864"/>
          </w:tcPr>
          <w:p>
            <w:r>
              <w:t xml:space="preserve">A schedule slip beyond the 24-week window.</w:t>
            </w:r>
          </w:p>
        </w:tc>
        <w:tc>
          <w:tcPr>
            <w:tcW w:type="dxa" w:w="864"/>
          </w:tcPr>
          <w:p>
            <w:r>
              <w:t xml:space="preserve">Low</w:t>
            </w:r>
          </w:p>
        </w:tc>
        <w:tc>
          <w:tcPr>
            <w:tcW w:type="dxa" w:w="864"/>
          </w:tcPr>
          <w:p>
            <w:r>
              <w:t xml:space="preserve">High</w:t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>Engage the regulator early and book the assessment in Week 14.</w:t>
            </w:r>
          </w:p>
        </w:tc>
        <w:tc>
          <w:tcPr>
            <w:tcW w:type="dxa" w:w="864"/>
          </w:tcPr>
          <w:p>
            <w:r>
              <w:t xml:space="preserve">Sade Okafor (Security Lead)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  <w:tr>
        <w:tc>
          <w:tcPr>
            <w:tcW w:type="dxa" w:w="864"/>
          </w:tcPr>
          <w:p>
            <w:r>
              <w:t xml:space="preserve">SR-03</w:t>
            </w:r>
          </w:p>
        </w:tc>
        <w:tc>
          <w:tcPr>
            <w:tcW w:type="dxa" w:w="864"/>
          </w:tcPr>
          <w:p>
            <w:r>
              <w:t xml:space="preserve">A hidden downstream dependency (the legacy CRM also feeds the nightly actuarial reporting batch).</w:t>
            </w:r>
          </w:p>
        </w:tc>
        <w:tc>
          <w:tcPr>
            <w:tcW w:type="dxa" w:w="864"/>
          </w:tcPr>
          <w:p>
            <w:r>
              <w:t xml:space="preserve">Decommissioning legacy breaks actuarial reporting.</w:t>
            </w:r>
          </w:p>
        </w:tc>
        <w:tc>
          <w:tcPr>
            <w:tcW w:type="dxa" w:w="864"/>
          </w:tcPr>
          <w:p>
            <w:r>
              <w:t xml:space="preserve">A gap in regulatory financial reporting.</w:t>
            </w:r>
          </w:p>
        </w:tc>
        <w:tc>
          <w:tcPr>
            <w:tcW w:type="dxa" w:w="864"/>
          </w:tcPr>
          <w:p>
            <w:r>
              <w:t xml:space="preserve">Medium</w:t>
            </w:r>
          </w:p>
        </w:tc>
        <w:tc>
          <w:tcPr>
            <w:tcW w:type="dxa" w:w="864"/>
          </w:tcPr>
          <w:p>
            <w:r>
              <w:t xml:space="preserve">High</w:t>
            </w:r>
          </w:p>
        </w:tc>
        <w:tc>
          <w:tcPr>
            <w:tcW w:type="dxa" w:w="864"/>
          </w:tcPr>
          <w:p>
            <w:r>
              <w:t xml:space="preserve"/>
            </w:r>
          </w:p>
        </w:tc>
        <w:tc>
          <w:tcPr>
            <w:tcW w:type="dxa" w:w="864"/>
          </w:tcPr>
          <w:p>
            <w:r>
              <w:t xml:space="preserve">Map and re-point the downstream feed before decommission.</w:t>
            </w:r>
          </w:p>
        </w:tc>
        <w:tc>
          <w:tcPr>
            <w:tcW w:type="dxa" w:w="864"/>
          </w:tcPr>
          <w:p>
            <w:r>
              <w:t xml:space="preserve">Priya Nair (Data Lead)</w:t>
            </w:r>
          </w:p>
        </w:tc>
        <w:tc>
          <w:tcPr>
            <w:tcW w:type="dxa" w:w="864"/>
          </w:tcPr>
          <w:p>
            <w:r>
              <w:t xml:space="preserve">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