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Meridian — Risk Workshop Notes</w:t>
      </w:r>
    </w:p>
    <w:p>
      <w:r>
        <w:rPr>
          <w:b/>
        </w:rPr>
        <w:t xml:space="preserve">Session: </w:t>
      </w:r>
      <w:r>
        <w:t>Fortnightly Risk Review #4</w:t>
      </w:r>
    </w:p>
    <w:p>
      <w:r>
        <w:rPr>
          <w:b/>
        </w:rPr>
        <w:t xml:space="preserve">Date: </w:t>
      </w:r>
      <w:r>
        <w:t>Week 9, Thursday</w:t>
      </w:r>
    </w:p>
    <w:p>
      <w:r>
        <w:rPr>
          <w:b/>
        </w:rPr>
        <w:t xml:space="preserve">Facilitator: </w:t>
      </w:r>
      <w:r>
        <w:t>Dana Whitfield (PM)</w:t>
      </w:r>
    </w:p>
    <w:p>
      <w:r>
        <w:rPr>
          <w:b/>
        </w:rPr>
        <w:t xml:space="preserve">Attendees: </w:t>
      </w:r>
      <w:r>
        <w:t>P. Nair (Data), T. Becker (Integration), S. Okafor (Security), R. Lindqvist (Change), M. Alvarez (Sponsor delegate)</w:t>
      </w:r>
    </w:p>
    <w:p>
      <w:r>
        <w:t>The team reviewed the open risk register and identified new risks. Each entry below records cause, event, effect, likelihood, impact, owner and the proposed response strategy (avoid / reduce / transfer / accept).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864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864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86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86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Response strategy</w:t>
            </w:r>
          </w:p>
        </w:tc>
        <w:tc>
          <w:tcPr>
            <w:tcW w:type="dxa" w:w="86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t>M-01</w:t>
            </w:r>
          </w:p>
        </w:tc>
        <w:tc>
          <w:tcPr>
            <w:tcW w:type="dxa" w:w="864"/>
          </w:tcPr>
          <w:p>
            <w:r>
              <w:t>Data quality</w:t>
            </w:r>
          </w:p>
        </w:tc>
        <w:tc>
          <w:tcPr>
            <w:tcW w:type="dxa" w:w="864"/>
          </w:tcPr>
          <w:p>
            <w:r>
              <w:t>Legacy CRM contains ~6% duplicate/merged customer records (carried from Week 8).</w:t>
            </w:r>
          </w:p>
        </w:tc>
        <w:tc>
          <w:tcPr>
            <w:tcW w:type="dxa" w:w="864"/>
          </w:tcPr>
          <w:p>
            <w:r>
              <w:t>Duplicate or corrupted records are migrated into the cloud platform.</w:t>
            </w:r>
          </w:p>
        </w:tc>
        <w:tc>
          <w:tcPr>
            <w:tcW w:type="dxa" w:w="864"/>
          </w:tcPr>
          <w:p>
            <w:r>
              <w:t>Mis-routed correspondence, compliance exposure, rework.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Priya Nair (Data Lead)</w:t>
            </w:r>
          </w:p>
        </w:tc>
        <w:tc>
          <w:tcPr>
            <w:tcW w:type="dxa" w:w="864"/>
          </w:tcPr>
          <w:p>
            <w:r>
              <w:t>Reduce — dedup pass + a hard validation gate at 0.5% duplicate threshold.</w:t>
            </w:r>
          </w:p>
        </w:tc>
        <w:tc>
          <w:tcPr>
            <w:tcW w:type="dxa" w:w="864"/>
          </w:tcPr>
          <w:p>
            <w:r>
              <w:t>In progress</w:t>
            </w:r>
          </w:p>
        </w:tc>
      </w:tr>
      <w:tr>
        <w:tc>
          <w:tcPr>
            <w:tcW w:type="dxa" w:w="864"/>
          </w:tcPr>
          <w:p>
            <w:r>
              <w:t>M-02</w:t>
            </w:r>
          </w:p>
        </w:tc>
        <w:tc>
          <w:tcPr>
            <w:tcW w:type="dxa" w:w="864"/>
          </w:tcPr>
          <w:p>
            <w:r>
              <w:t>Integration dependency</w:t>
            </w:r>
          </w:p>
        </w:tc>
        <w:tc>
          <w:tcPr>
            <w:tcW w:type="dxa" w:w="864"/>
          </w:tcPr>
          <w:p>
            <w:r>
              <w:t>Policy-rating API contract with Acme Ratings Ltd not finalised.</w:t>
            </w:r>
          </w:p>
        </w:tc>
        <w:tc>
          <w:tcPr>
            <w:tcW w:type="dxa" w:w="864"/>
          </w:tcPr>
          <w:p>
            <w:r>
              <w:t>Integration test entry (Week 13) cannot begin on schedule.</w:t>
            </w:r>
          </w:p>
        </w:tc>
        <w:tc>
          <w:tcPr>
            <w:tcW w:type="dxa" w:w="864"/>
          </w:tcPr>
          <w:p>
            <w:r>
              <w:t>UAT start slips; downstream cutover date at risk.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Tom Becker (Integration Lead)</w:t>
            </w:r>
          </w:p>
        </w:tc>
        <w:tc>
          <w:tcPr>
            <w:tcW w:type="dxa" w:w="864"/>
          </w:tcPr>
          <w:p>
            <w:r>
              <w:t>Reduce — vendor escalation + stub-based fallback for internal testing.</w:t>
            </w:r>
          </w:p>
        </w:tc>
        <w:tc>
          <w:tcPr>
            <w:tcW w:type="dxa" w:w="864"/>
          </w:tcPr>
          <w:p>
            <w:r>
              <w:t>Open</w:t>
            </w:r>
          </w:p>
        </w:tc>
      </w:tr>
      <w:tr>
        <w:tc>
          <w:tcPr>
            <w:tcW w:type="dxa" w:w="864"/>
          </w:tcPr>
          <w:p>
            <w:r>
              <w:t>M-04</w:t>
            </w:r>
          </w:p>
        </w:tc>
        <w:tc>
          <w:tcPr>
            <w:tcW w:type="dxa" w:w="864"/>
          </w:tcPr>
          <w:p>
            <w:r>
              <w:t>Security / compliance (GDPR)</w:t>
            </w:r>
          </w:p>
        </w:tc>
        <w:tc>
          <w:tcPr>
            <w:tcW w:type="dxa" w:w="864"/>
          </w:tcPr>
          <w:p>
            <w:r>
              <w:t>Production PII is copied into lower test environments for realistic UAT.</w:t>
            </w:r>
          </w:p>
        </w:tc>
        <w:tc>
          <w:tcPr>
            <w:tcW w:type="dxa" w:w="864"/>
          </w:tcPr>
          <w:p>
            <w:r>
              <w:t>A data breach or unauthorised access in a less-controlled environment.</w:t>
            </w:r>
          </w:p>
        </w:tc>
        <w:tc>
          <w:tcPr>
            <w:tcW w:type="dxa" w:w="864"/>
          </w:tcPr>
          <w:p>
            <w:r>
              <w:t>Regulatory fine, reputational damage, mandatory breach notification.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Sade Okafor (Security Lead)</w:t>
            </w:r>
          </w:p>
        </w:tc>
        <w:tc>
          <w:tcPr>
            <w:tcW w:type="dxa" w:w="864"/>
          </w:tcPr>
          <w:p>
            <w:r>
              <w:t>Reduce — anonymise/pseudonymise all PII before it leaves production.</w:t>
            </w:r>
          </w:p>
        </w:tc>
        <w:tc>
          <w:tcPr>
            <w:tcW w:type="dxa" w:w="864"/>
          </w:tcPr>
          <w:p>
            <w:r>
              <w:t>Open</w:t>
            </w:r>
          </w:p>
        </w:tc>
      </w:tr>
      <w:tr>
        <w:tc>
          <w:tcPr>
            <w:tcW w:type="dxa" w:w="864"/>
          </w:tcPr>
          <w:p>
            <w:r>
              <w:t>M-05</w:t>
            </w:r>
          </w:p>
        </w:tc>
        <w:tc>
          <w:tcPr>
            <w:tcW w:type="dxa" w:w="864"/>
          </w:tcPr>
          <w:p>
            <w:r>
              <w:t>Cutover / rollback</w:t>
            </w:r>
          </w:p>
        </w:tc>
        <w:tc>
          <w:tcPr>
            <w:tcW w:type="dxa" w:w="864"/>
          </w:tcPr>
          <w:p>
            <w:r>
              <w:t>The Week-24 production cutover has a narrow weekend window and no rehearsed rollback.</w:t>
            </w:r>
          </w:p>
        </w:tc>
        <w:tc>
          <w:tcPr>
            <w:tcW w:type="dxa" w:w="864"/>
          </w:tcPr>
          <w:p>
            <w:r>
              <w:t>Cutover fails partway and the team cannot cleanly revert to legacy.</w:t>
            </w:r>
          </w:p>
        </w:tc>
        <w:tc>
          <w:tcPr>
            <w:tcW w:type="dxa" w:w="864"/>
          </w:tcPr>
          <w:p>
            <w:r>
              <w:t>Extended outage of customer-facing CRM during business hours.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Tom Becker (Integration Lead)</w:t>
            </w:r>
          </w:p>
        </w:tc>
        <w:tc>
          <w:tcPr>
            <w:tcW w:type="dxa" w:w="864"/>
          </w:tcPr>
          <w:p>
            <w:r>
              <w:t>Reduce — add a Week-22 rollback rehearsal and a go/no-go checkpoint.</w:t>
            </w:r>
          </w:p>
        </w:tc>
        <w:tc>
          <w:tcPr>
            <w:tcW w:type="dxa" w:w="864"/>
          </w:tcPr>
          <w:p>
            <w:r>
              <w:t>Open</w:t>
            </w:r>
          </w:p>
        </w:tc>
      </w:tr>
      <w:tr>
        <w:tc>
          <w:tcPr>
            <w:tcW w:type="dxa" w:w="864"/>
          </w:tcPr>
          <w:p>
            <w:r>
              <w:t>M-06</w:t>
            </w:r>
          </w:p>
        </w:tc>
        <w:tc>
          <w:tcPr>
            <w:tcW w:type="dxa" w:w="864"/>
          </w:tcPr>
          <w:p>
            <w:r>
              <w:t>User adoption / training</w:t>
            </w:r>
          </w:p>
        </w:tc>
        <w:tc>
          <w:tcPr>
            <w:tcW w:type="dxa" w:w="864"/>
          </w:tcPr>
          <w:p>
            <w:r>
              <w:t>Front-line agents have had no exposure to the new platform UI.</w:t>
            </w:r>
          </w:p>
        </w:tc>
        <w:tc>
          <w:tcPr>
            <w:tcW w:type="dxa" w:w="864"/>
          </w:tcPr>
          <w:p>
            <w:r>
              <w:t>Agents struggle at go-live and revert to manual workarounds.</w:t>
            </w:r>
          </w:p>
        </w:tc>
        <w:tc>
          <w:tcPr>
            <w:tcW w:type="dxa" w:w="864"/>
          </w:tcPr>
          <w:p>
            <w:r>
              <w:t>Productivity dip, data captured outside the system, support load spike.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Rita Lindqvist (Change Lead)</w:t>
            </w:r>
          </w:p>
        </w:tc>
        <w:tc>
          <w:tcPr>
            <w:tcW w:type="dxa" w:w="864"/>
          </w:tcPr>
          <w:p>
            <w:r>
              <w:t>Reduce — phased training from Week 16 plus floor-walker support at go-live.</w:t>
            </w:r>
          </w:p>
        </w:tc>
        <w:tc>
          <w:tcPr>
            <w:tcW w:type="dxa" w:w="864"/>
          </w:tcPr>
          <w:p>
            <w:r>
              <w:t>Not started</w:t>
            </w:r>
          </w:p>
        </w:tc>
      </w:tr>
      <w:tr>
        <w:tc>
          <w:tcPr>
            <w:tcW w:type="dxa" w:w="864"/>
          </w:tcPr>
          <w:p>
            <w:r>
              <w:t>M-07</w:t>
            </w:r>
          </w:p>
        </w:tc>
        <w:tc>
          <w:tcPr>
            <w:tcW w:type="dxa" w:w="864"/>
          </w:tcPr>
          <w:p>
            <w:r>
              <w:t>Budget / scope</w:t>
            </w:r>
          </w:p>
        </w:tc>
        <w:tc>
          <w:tcPr>
            <w:tcW w:type="dxa" w:w="864"/>
          </w:tcPr>
          <w:p>
            <w:r>
              <w:t>Stakeholders are requesting additional custom reports beyond the agreed scope.</w:t>
            </w:r>
          </w:p>
        </w:tc>
        <w:tc>
          <w:tcPr>
            <w:tcW w:type="dxa" w:w="864"/>
          </w:tcPr>
          <w:p>
            <w:r>
              <w:t>Uncontrolled scope creep consumes contingency budget.</w:t>
            </w:r>
          </w:p>
        </w:tc>
        <w:tc>
          <w:tcPr>
            <w:tcW w:type="dxa" w:w="864"/>
          </w:tcPr>
          <w:p>
            <w:r>
              <w:t>Budget overrun and distraction from critical-path migration work.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Dana Whitfield (PM)</w:t>
            </w:r>
          </w:p>
        </w:tc>
        <w:tc>
          <w:tcPr>
            <w:tcW w:type="dxa" w:w="864"/>
          </w:tcPr>
          <w:p>
            <w:r>
              <w:t>Reduce — route all new requests through formal change control.</w:t>
            </w:r>
          </w:p>
        </w:tc>
        <w:tc>
          <w:tcPr>
            <w:tcW w:type="dxa" w:w="864"/>
          </w:tcPr>
          <w:p>
            <w:r>
              <w:t>Mitigating</w:t>
            </w:r>
          </w:p>
        </w:tc>
      </w:tr>
    </w:tbl>
    <w:p/>
    <w:p>
      <w:r>
        <w:t>Action: M-05 rollback rehearsal to be added to the plan; M-04 anonymisation approach to be confirmed with the Data Protection Officer before Week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