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43.png" ContentType="image/png"/>
  <Override PartName="/word/media/rId64.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131.png" ContentType="image/png"/>
  <Override PartName="/word/media/rId137.png" ContentType="image/png"/>
  <Override PartName="/word/media/rId140.png" ContentType="image/png"/>
  <Override PartName="/word/media/rId134.png" ContentType="image/png"/>
  <Override PartName="/word/media/rId103.png" ContentType="image/png"/>
  <Override PartName="/word/media/rId106.png" ContentType="image/png"/>
  <Override PartName="/word/media/rId109.png" ContentType="image/png"/>
  <Override PartName="/word/media/rId112.png" ContentType="image/png"/>
  <Override PartName="/word/media/rId143.png" ContentType="image/png"/>
  <Override PartName="/word/media/rId146.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74.png" ContentType="image/png"/>
  <Override PartName="/word/media/rId98.png" ContentType="image/png"/>
  <Override PartName="/word/media/rId80.png" ContentType="image/png"/>
  <Override PartName="/word/media/rId77.png" ContentType="image/png"/>
  <Override PartName="/word/media/rId89.png" ContentType="image/png"/>
  <Override PartName="/word/media/rId92.png" ContentType="image/png"/>
  <Override PartName="/word/media/rId95.png" ContentType="image/png"/>
  <Override PartName="/word/media/rId83.png" ContentType="image/png"/>
  <Override PartName="/word/media/rId86.png" ContentType="image/png"/>
  <Override PartName="/word/media/rId160.png" ContentType="image/png"/>
  <Override PartName="/word/media/rId1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Exploring</w:t>
      </w:r>
      <w:r>
        <w:t xml:space="preserve"> </w:t>
      </w:r>
      <w:r>
        <w:t xml:space="preserve">Soil</w:t>
      </w:r>
      <w:r>
        <w:t xml:space="preserve"> </w:t>
      </w:r>
      <w:r>
        <w:t xml:space="preserve">Data</w:t>
      </w:r>
    </w:p>
    <w:p>
      <w:pPr>
        <w:pStyle w:val="Date"/>
      </w:pPr>
      <w:r>
        <w:t xml:space="preserve">February</w:t>
      </w:r>
      <w:r>
        <w:t xml:space="preserve"> </w:t>
      </w:r>
      <w:r>
        <w:t xml:space="preserve">11,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8" w:name="about-this-book"/>
    <w:p>
      <w:pPr>
        <w:pStyle w:val="Heading1"/>
      </w:pPr>
      <w:r>
        <w:t xml:space="preserve">About this Book</w:t>
      </w:r>
    </w:p>
    <w:p>
      <w:pPr>
        <w:pStyle w:val="FirstParagraph"/>
      </w:pPr>
      <w:r>
        <w:t xml:space="preserve">This is a companion training guide for BioDIGS, a GDSCN project that brings a research experience into the classroom. This activity guides students through exploration of the BioDIGS soil data using the tidyverse in R. Students will learn basic data summarization, visualization, and mapping skills.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target-audience"/>
    <w:p>
      <w:pPr>
        <w:pStyle w:val="Heading2"/>
      </w:pPr>
      <w:r>
        <w:rPr>
          <w:rStyle w:val="SectionNumber"/>
        </w:rPr>
        <w:t xml:space="preserve">0.1</w:t>
      </w:r>
      <w:r>
        <w:tab/>
      </w:r>
      <w:r>
        <w:t xml:space="preserve">Target Audience</w:t>
      </w:r>
    </w:p>
    <w:p>
      <w:pPr>
        <w:pStyle w:val="FirstParagraph"/>
      </w:pPr>
      <w:r>
        <w:t xml:space="preserve">The activities in this guide are written for undergraduate students and beginning graduate students. Some sections require basic understanding of the R programming language, which is indicated at the beginning of the chapter.</w:t>
      </w:r>
    </w:p>
    <w:bookmarkEnd w:id="25"/>
    <w:bookmarkStart w:id="31"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drawing>
          <wp:inline>
            <wp:extent cx="4762500" cy="660082"/>
            <wp:effectExtent b="0" l="0" r="0" t="0"/>
            <wp:docPr descr="" title="" id="29" name="Picture"/>
            <a:graphic>
              <a:graphicData uri="http://schemas.openxmlformats.org/drawingml/2006/picture">
                <pic:pic>
                  <pic:nvPicPr>
                    <pic:cNvPr descr="https://raw.githubusercontent.com/fhdsl/GDSCN_BioDIGS_Book/main/assets/GDSCN_style/powered-by-anvil.png" id="30" name="Picture"/>
                    <pic:cNvPicPr>
                      <a:picLocks noChangeArrowheads="1" noChangeAspect="1"/>
                    </pic:cNvPicPr>
                  </pic:nvPicPr>
                  <pic:blipFill>
                    <a:blip r:embed="rId28"/>
                    <a:stretch>
                      <a:fillRect/>
                    </a:stretch>
                  </pic:blipFill>
                  <pic:spPr bwMode="auto">
                    <a:xfrm>
                      <a:off x="0" y="0"/>
                      <a:ext cx="4762500" cy="660082"/>
                    </a:xfrm>
                    <a:prstGeom prst="rect">
                      <a:avLst/>
                    </a:prstGeom>
                    <a:noFill/>
                    <a:ln w="9525">
                      <a:noFill/>
                      <a:headEnd/>
                      <a:tailEnd/>
                    </a:ln>
                  </pic:spPr>
                </pic:pic>
              </a:graphicData>
            </a:graphic>
          </wp:inline>
        </w:drawing>
      </w:r>
    </w:p>
    <w:bookmarkEnd w:id="31"/>
    <w:bookmarkStart w:id="37"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2">
        <w:r>
          <w:rPr>
            <w:rStyle w:val="Hyperlink"/>
          </w:rPr>
          <w:t xml:space="preserve">BioDIGS website</w:t>
        </w:r>
      </w:hyperlink>
      <w:r>
        <w:t xml:space="preserve">, as well as through an</w:t>
      </w:r>
      <w:r>
        <w:t xml:space="preserve"> </w:t>
      </w:r>
      <w:hyperlink r:id="rId33">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4">
        <w:r>
          <w:rPr>
            <w:rStyle w:val="Hyperlink"/>
          </w:rPr>
          <w:t xml:space="preserve">Delaware Soil Testing Program</w:t>
        </w:r>
      </w:hyperlink>
      <w:r>
        <w:t xml:space="preserve"> </w:t>
      </w:r>
      <w:r>
        <w:t xml:space="preserve">at the University of Delaware. Sequences were generated by the</w:t>
      </w:r>
      <w:r>
        <w:t xml:space="preserve"> </w:t>
      </w:r>
      <w:hyperlink r:id="rId35">
        <w:r>
          <w:rPr>
            <w:rStyle w:val="Hyperlink"/>
          </w:rPr>
          <w:t xml:space="preserve">Johns Hopkins University Genetic Resources Core Facility</w:t>
        </w:r>
      </w:hyperlink>
      <w:r>
        <w:t xml:space="preserve"> </w:t>
      </w:r>
      <w:r>
        <w:t xml:space="preserve">and by</w:t>
      </w:r>
      <w:r>
        <w:t xml:space="preserve"> </w:t>
      </w:r>
      <w:hyperlink r:id="rId36">
        <w:r>
          <w:rPr>
            <w:rStyle w:val="Hyperlink"/>
          </w:rPr>
          <w:t xml:space="preserve">PacBio</w:t>
        </w:r>
      </w:hyperlink>
      <w:r>
        <w:t xml:space="preserve">.</w:t>
      </w:r>
    </w:p>
    <w:bookmarkEnd w:id="37"/>
    <w:bookmarkEnd w:id="38"/>
    <w:bookmarkStart w:id="68" w:name="anvil-workspace"/>
    <w:p>
      <w:pPr>
        <w:pStyle w:val="Heading1"/>
      </w:pPr>
      <w:r>
        <w:rPr>
          <w:rStyle w:val="SectionNumber"/>
        </w:rPr>
        <w:t xml:space="preserve">1</w:t>
      </w:r>
      <w:r>
        <w:tab/>
      </w:r>
      <w:r>
        <w:t xml:space="preserve">AnVIL Workspace</w:t>
      </w:r>
    </w:p>
    <w:p>
      <w:pPr>
        <w:pStyle w:val="FirstParagraph"/>
      </w:pPr>
      <w:r>
        <w:t xml:space="preserve">You can easily access the data on AnVIL by cloning the dedicated workspace. These sections guide you through creating an AnVIL account and accessing the workspace.</w:t>
      </w:r>
    </w:p>
    <w:bookmarkStart w:id="41" w:name="create-google-account"/>
    <w:p>
      <w:pPr>
        <w:pStyle w:val="Heading2"/>
      </w:pPr>
      <w:r>
        <w:rPr>
          <w:rStyle w:val="SectionNumber"/>
        </w:rPr>
        <w:t xml:space="preserve">1.1</w:t>
      </w:r>
      <w:r>
        <w:tab/>
      </w:r>
      <w:r>
        <w:t xml:space="preserve">Create Google Account</w:t>
      </w:r>
    </w:p>
    <w:p>
      <w:pPr>
        <w:pStyle w:val="FirstParagraph"/>
      </w:pPr>
      <w:r>
        <w:t xml:space="preserve">If you do not already have a Google account that you would like to use for accessing Terra,</w:t>
      </w:r>
      <w:r>
        <w:t xml:space="preserve"> </w:t>
      </w:r>
      <w:hyperlink r:id="rId39">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0">
        <w:r>
          <w:rPr>
            <w:rStyle w:val="Hyperlink"/>
          </w:rPr>
          <w:t xml:space="preserve">these instructions</w:t>
        </w:r>
      </w:hyperlink>
      <w:r>
        <w:t xml:space="preserve">.</w:t>
      </w:r>
    </w:p>
    <w:bookmarkEnd w:id="41"/>
    <w:bookmarkStart w:id="67" w:name="clone-the-workspace"/>
    <w:p>
      <w:pPr>
        <w:pStyle w:val="Heading2"/>
      </w:pPr>
      <w:r>
        <w:rPr>
          <w:rStyle w:val="SectionNumber"/>
        </w:rPr>
        <w:t xml:space="preserve">1.2</w:t>
      </w:r>
      <w:r>
        <w:tab/>
      </w:r>
      <w:r>
        <w:t xml:space="preserve">Clone the Workspace</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1"/>
        </w:numPr>
      </w:pPr>
      <w:hyperlink r:id="rId42">
        <w:r>
          <w:rPr>
            <w:rStyle w:val="Hyperlink"/>
          </w:rPr>
          <w:t xml:space="preserve">Launch Terra</w:t>
        </w:r>
      </w:hyperlink>
    </w:p>
    <w:p>
      <w:pPr>
        <w:numPr>
          <w:ilvl w:val="0"/>
          <w:numId w:val="1001"/>
        </w:numPr>
      </w:pPr>
      <w:r>
        <w:t xml:space="preserve">Locate the Workspace you want to clone. If a Workspace has been shared with you ahead of time, it will appear in</w:t>
      </w:r>
      <w:r>
        <w:t xml:space="preserve"> </w:t>
      </w:r>
      <w:r>
        <w:t xml:space="preserve">“</w:t>
      </w:r>
      <w:r>
        <w:t xml:space="preserve">MY WORKSPACES</w:t>
      </w:r>
      <w:r>
        <w:t xml:space="preserve">”</w:t>
      </w:r>
      <w:r>
        <w:t xml:space="preserve">. You can clone a Workspace that was shared with you to perform your own analyses. In the screenshot below, no Workspaces have been shared.</w:t>
      </w:r>
    </w:p>
    <w:p>
      <w:pPr>
        <w:numPr>
          <w:ilvl w:val="0"/>
          <w:numId w:val="1000"/>
        </w:numPr>
      </w:pPr>
      <w:r>
        <w:drawing>
          <wp:inline>
            <wp:extent cx="5334000" cy="3000375"/>
            <wp:effectExtent b="0" l="0" r="0" t="0"/>
            <wp:docPr descr="" title="" id="44" name="Picture"/>
            <a:graphic>
              <a:graphicData uri="http://schemas.openxmlformats.org/drawingml/2006/picture">
                <pic:pic>
                  <pic:nvPicPr>
                    <pic:cNvPr descr="resources/images/09-student_guide_files/figure-docx//1JvfOluHe543cUCyyH3zz0ew-1J1QjhdYGZufW9NrC_M_g117abafa453_0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If a Workspace hasn’t been shared with you, navigate to the</w:t>
      </w:r>
      <w:r>
        <w:t xml:space="preserve"> </w:t>
      </w:r>
      <w:r>
        <w:t xml:space="preserve">“</w:t>
      </w:r>
      <w:r>
        <w:t xml:space="preserve">FEATURED</w:t>
      </w:r>
      <w:r>
        <w:t xml:space="preserve">”</w:t>
      </w:r>
      <w:r>
        <w:t xml:space="preserve"> </w:t>
      </w:r>
      <w:r>
        <w:t xml:space="preserve">or</w:t>
      </w:r>
      <w:r>
        <w:t xml:space="preserve"> </w:t>
      </w:r>
      <w:r>
        <w:t xml:space="preserve">“</w:t>
      </w:r>
      <w:r>
        <w:t xml:space="preserve">PUBLIC</w:t>
      </w:r>
      <w:r>
        <w:t xml:space="preserve">”</w:t>
      </w:r>
      <w:r>
        <w:t xml:space="preserve"> </w:t>
      </w:r>
      <w:r>
        <w:t xml:space="preserve">Workspace tabs.</w:t>
      </w:r>
    </w:p>
    <w:p>
      <w:pPr>
        <w:numPr>
          <w:ilvl w:val="0"/>
          <w:numId w:val="1000"/>
        </w:numPr>
      </w:pPr>
      <w:r>
        <w:drawing>
          <wp:inline>
            <wp:extent cx="5334000" cy="3000375"/>
            <wp:effectExtent b="0" l="0" r="0" t="0"/>
            <wp:docPr descr="" title="" id="47" name="Picture"/>
            <a:graphic>
              <a:graphicData uri="http://schemas.openxmlformats.org/drawingml/2006/picture">
                <pic:pic>
                  <pic:nvPicPr>
                    <pic:cNvPr descr="resources/images/09-student_guide_files/figure-docx//1JvfOluHe543cUCyyH3zz0ew-1J1QjhdYGZufW9NrC_M_g117abafa453_0_144.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Use the search box to find the Workspace you want to clone.</w:t>
      </w:r>
    </w:p>
    <w:p>
      <w:pPr>
        <w:numPr>
          <w:ilvl w:val="0"/>
          <w:numId w:val="1000"/>
        </w:numPr>
      </w:pPr>
      <w:r>
        <w:drawing>
          <wp:inline>
            <wp:extent cx="5334000" cy="3000375"/>
            <wp:effectExtent b="0" l="0" r="0" t="0"/>
            <wp:docPr descr="" title="" id="50" name="Picture"/>
            <a:graphic>
              <a:graphicData uri="http://schemas.openxmlformats.org/drawingml/2006/picture">
                <pic:pic>
                  <pic:nvPicPr>
                    <pic:cNvPr descr="resources/images/09-student_guide_files/figure-docx//1JvfOluHe543cUCyyH3zz0ew-1J1QjhdYGZufW9NrC_M_g117abafa453_0_288.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Click the teardrop button on the far right next to the Workspace you want to clone. Click</w:t>
      </w:r>
      <w:r>
        <w:t xml:space="preserve"> </w:t>
      </w:r>
      <w:r>
        <w:t xml:space="preserve">“</w:t>
      </w:r>
      <w:r>
        <w:t xml:space="preserve">Clone</w:t>
      </w:r>
      <w:r>
        <w:t xml:space="preserve">”</w:t>
      </w:r>
      <w:r>
        <w:t xml:space="preserve">. You can also clone the Workspace from the Workspace Dashboard instead of the search results.</w:t>
      </w:r>
    </w:p>
    <w:p>
      <w:pPr>
        <w:numPr>
          <w:ilvl w:val="0"/>
          <w:numId w:val="1000"/>
        </w:numPr>
      </w:pPr>
      <w:r>
        <w:drawing>
          <wp:inline>
            <wp:extent cx="5334000" cy="3000375"/>
            <wp:effectExtent b="0" l="0" r="0" t="0"/>
            <wp:docPr descr="" title="" id="53" name="Picture"/>
            <a:graphic>
              <a:graphicData uri="http://schemas.openxmlformats.org/drawingml/2006/picture">
                <pic:pic>
                  <pic:nvPicPr>
                    <pic:cNvPr descr="resources/images/09-student_guide_files/figure-docx//1JvfOluHe543cUCyyH3zz0ew-1J1QjhdYGZufW9NrC_M_g117abafa453_0_432.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56" name="Picture"/>
            <a:graphic>
              <a:graphicData uri="http://schemas.openxmlformats.org/drawingml/2006/picture">
                <pic:pic>
                  <pic:nvPicPr>
                    <pic:cNvPr descr="resources/images/09-student_guide_files/figure-docx//1JvfOluHe543cUCyyH3zz0ew-1J1QjhdYGZufW9NrC_M_g117abafa453_0_577.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You will see a popup box appear. Name your Workspace and select the appropriate Terra Billing Project.</w:t>
      </w:r>
      <w:r>
        <w:t xml:space="preserve"> </w:t>
      </w:r>
      <w:r>
        <w:rPr>
          <w:bCs/>
          <w:b/>
        </w:rPr>
        <w:t xml:space="preserve">All activity in the Workspace will be charged to this Billing Project</w:t>
      </w:r>
      <w:r>
        <w:t xml:space="preserve"> </w:t>
      </w:r>
      <w:r>
        <w:t xml:space="preserve">(regardless of who conducted it). Remember that each Workspace should have its own Billing Project.</w:t>
      </w:r>
    </w:p>
    <w:p>
      <w:pPr>
        <w:numPr>
          <w:ilvl w:val="0"/>
          <w:numId w:val="1000"/>
        </w:numPr>
      </w:pPr>
      <w:r>
        <w:drawing>
          <wp:inline>
            <wp:extent cx="5334000" cy="3000375"/>
            <wp:effectExtent b="0" l="0" r="0" t="0"/>
            <wp:docPr descr="" title="" id="59" name="Picture"/>
            <a:graphic>
              <a:graphicData uri="http://schemas.openxmlformats.org/drawingml/2006/picture">
                <pic:pic>
                  <pic:nvPicPr>
                    <pic:cNvPr descr="resources/images/09-student_guide_files/figure-docx//1JvfOluHe543cUCyyH3zz0ew-1J1QjhdYGZufW9NrC_M_g117abafa453_0_722.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If you are working with protected data, you can set the</w:t>
      </w:r>
      <w:r>
        <w:t xml:space="preserve"> </w:t>
      </w:r>
      <w:r>
        <w:rPr>
          <w:bCs/>
          <w:b/>
        </w:rPr>
        <w:t xml:space="preserve">Authorization Domain</w:t>
      </w:r>
      <w:r>
        <w:t xml:space="preserve"> </w:t>
      </w:r>
      <w:r>
        <w:t xml:space="preserve">to limit who can be added to your Workspace. Note that the Authorization Domain cannot be changed after the Workspace is created (i.e. there is no way to make this Workspace shareable with a larger audience in the future). Workspaces by default are only visible to people you specifically share them with. Authorization domains add an extra layer of enforcement over privacy, but by nature make sharing more complicated. We recommend using Authorization Domains in cases where it is extremely important and/or legally required that the data be kept private (e.g. protected patient data, industry data). For data you would merely prefer not be shared with the world, we recommend relying on standard Workspace sharing permissions rather than Authorization Domains, as Authorization Domains can make future collaborations, publications, or other sharing complicated.</w:t>
      </w:r>
    </w:p>
    <w:p>
      <w:pPr>
        <w:numPr>
          <w:ilvl w:val="0"/>
          <w:numId w:val="1000"/>
        </w:numPr>
      </w:pPr>
      <w:r>
        <w:drawing>
          <wp:inline>
            <wp:extent cx="5334000" cy="3000375"/>
            <wp:effectExtent b="0" l="0" r="0" t="0"/>
            <wp:docPr descr="" title="" id="62" name="Picture"/>
            <a:graphic>
              <a:graphicData uri="http://schemas.openxmlformats.org/drawingml/2006/picture">
                <pic:pic>
                  <pic:nvPicPr>
                    <pic:cNvPr descr="resources/images/09-student_guide_files/figure-docx//1JvfOluHe543cUCyyH3zz0ew-1J1QjhdYGZufW9NrC_M_g117abafa453_0_867.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1"/>
        </w:numPr>
      </w:pPr>
      <w:r>
        <w:t xml:space="preserve">Click</w:t>
      </w:r>
      <w:r>
        <w:t xml:space="preserve"> </w:t>
      </w:r>
      <w:r>
        <w:t xml:space="preserve">“</w:t>
      </w:r>
      <w:r>
        <w:t xml:space="preserve">CLONE WORKSPACE</w:t>
      </w:r>
      <w:r>
        <w:t xml:space="preserve">”</w:t>
      </w:r>
      <w:r>
        <w:t xml:space="preserve">. The new Workspace should now show up under your Workspaces.</w:t>
      </w:r>
    </w:p>
    <w:p>
      <w:pPr>
        <w:numPr>
          <w:ilvl w:val="0"/>
          <w:numId w:val="1000"/>
        </w:numPr>
      </w:pPr>
      <w:r>
        <w:drawing>
          <wp:inline>
            <wp:extent cx="5334000" cy="3000375"/>
            <wp:effectExtent b="0" l="0" r="0" t="0"/>
            <wp:docPr descr="" title="" id="65" name="Picture"/>
            <a:graphic>
              <a:graphicData uri="http://schemas.openxmlformats.org/drawingml/2006/picture">
                <pic:pic>
                  <pic:nvPicPr>
                    <pic:cNvPr descr="resources/images/09-student_guide_files/figure-docx//1JvfOluHe543cUCyyH3zz0ew-1J1QjhdYGZufW9NrC_M_g117abafa453_0_1012.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End w:id="68"/>
    <w:bookmarkStart w:id="151" w:name="using-rstudio-on-anvil"/>
    <w:p>
      <w:pPr>
        <w:pStyle w:val="Heading1"/>
      </w:pPr>
      <w:r>
        <w:rPr>
          <w:rStyle w:val="SectionNumber"/>
        </w:rPr>
        <w:t xml:space="preserve">2</w:t>
      </w:r>
      <w:r>
        <w:tab/>
      </w:r>
      <w:r>
        <w:t xml:space="preserve">Using RStudio on AnVIL</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w:t>
      </w:r>
    </w:p>
    <w:bookmarkStart w:id="72" w:name="video-overview-of-rstudio-on-anvil"/>
    <w:p>
      <w:pPr>
        <w:pStyle w:val="Heading2"/>
      </w:pPr>
      <w:r>
        <w:rPr>
          <w:rStyle w:val="SectionNumber"/>
        </w:rPr>
        <w:t xml:space="preserve">2.1</w:t>
      </w:r>
      <w:r>
        <w:tab/>
      </w:r>
      <w:r>
        <w:t xml:space="preserve">Video overview of RStudio on AnVIL</w:t>
      </w:r>
    </w:p>
    <w:p>
      <w:pPr>
        <w:pStyle w:val="FirstParagraph"/>
      </w:pPr>
      <w:r>
        <w:t xml:space="preserve">Here is a video tutorial that describes the basics of using RStudio on AnVIL.</w:t>
      </w:r>
    </w:p>
    <w:bookmarkStart w:id="69" w:name="objectives"/>
    <w:p>
      <w:pPr>
        <w:pStyle w:val="Heading3"/>
      </w:pPr>
      <w:r>
        <w:rPr>
          <w:rStyle w:val="SectionNumber"/>
        </w:rPr>
        <w:t xml:space="preserve">2.1.1</w:t>
      </w:r>
      <w:r>
        <w:tab/>
      </w:r>
      <w:r>
        <w:t xml:space="preserve">Objectives</w:t>
      </w:r>
    </w:p>
    <w:p>
      <w:pPr>
        <w:numPr>
          <w:ilvl w:val="0"/>
          <w:numId w:val="1002"/>
        </w:numPr>
        <w:pStyle w:val="Compact"/>
      </w:pPr>
      <w:r>
        <w:t xml:space="preserve">Start compute for your RStudio environment</w:t>
      </w:r>
    </w:p>
    <w:p>
      <w:pPr>
        <w:numPr>
          <w:ilvl w:val="0"/>
          <w:numId w:val="1002"/>
        </w:numPr>
        <w:pStyle w:val="Compact"/>
      </w:pPr>
      <w:r>
        <w:t xml:space="preserve">Tour RStudio on AnVIL</w:t>
      </w:r>
    </w:p>
    <w:p>
      <w:pPr>
        <w:numPr>
          <w:ilvl w:val="0"/>
          <w:numId w:val="1002"/>
        </w:numPr>
        <w:pStyle w:val="Compact"/>
      </w:pPr>
      <w:r>
        <w:t xml:space="preserve">Stop compute to minimize expenses</w:t>
      </w:r>
    </w:p>
    <w:bookmarkEnd w:id="69"/>
    <w:bookmarkStart w:id="71" w:name="slides"/>
    <w:p>
      <w:pPr>
        <w:pStyle w:val="Heading3"/>
      </w:pPr>
      <w:r>
        <w:rPr>
          <w:rStyle w:val="SectionNumber"/>
        </w:rPr>
        <w:t xml:space="preserve">2.1.2</w:t>
      </w:r>
      <w:r>
        <w:tab/>
      </w:r>
      <w:r>
        <w:t xml:space="preserve">Slides</w:t>
      </w:r>
    </w:p>
    <w:p>
      <w:pPr>
        <w:pStyle w:val="FirstParagraph"/>
      </w:pPr>
      <w:r>
        <w:t xml:space="preserve">The slides for this tutorial are are located</w:t>
      </w:r>
      <w:r>
        <w:t xml:space="preserve"> </w:t>
      </w:r>
      <w:hyperlink r:id="rId70">
        <w:r>
          <w:rPr>
            <w:rStyle w:val="Hyperlink"/>
          </w:rPr>
          <w:t xml:space="preserve">here</w:t>
        </w:r>
      </w:hyperlink>
      <w:r>
        <w:t xml:space="preserve">.</w:t>
      </w:r>
    </w:p>
    <w:bookmarkEnd w:id="71"/>
    <w:bookmarkEnd w:id="72"/>
    <w:bookmarkStart w:id="101" w:name="launching-rstudio"/>
    <w:p>
      <w:pPr>
        <w:pStyle w:val="Heading2"/>
      </w:pPr>
      <w:r>
        <w:rPr>
          <w:rStyle w:val="SectionNumber"/>
        </w:rPr>
        <w:t xml:space="preserve">2.2</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3"/>
        </w:numPr>
      </w:pPr>
      <w:r>
        <w:t xml:space="preserve">Open Terra - use a web browser to go to</w:t>
      </w:r>
      <w:r>
        <w:t xml:space="preserve"> </w:t>
      </w:r>
      <w:hyperlink r:id="rId73">
        <w:r>
          <w:rPr>
            <w:rStyle w:val="VerbatimChar"/>
          </w:rPr>
          <w:t xml:space="preserve">anvil.terra.bio</w:t>
        </w:r>
      </w:hyperlink>
    </w:p>
    <w:p>
      <w:pPr>
        <w:numPr>
          <w:ilvl w:val="0"/>
          <w:numId w:val="1003"/>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75" name="Picture"/>
            <a:graphic>
              <a:graphicData uri="http://schemas.openxmlformats.org/drawingml/2006/picture">
                <pic:pic>
                  <pic:nvPicPr>
                    <pic:cNvPr descr="resources/images/resources/images/09-student_guide_files/figure-docx//1a35Mb8f0M-bQkBcHa1cyQc6YxXoBLtExCz96nv08vkA_g117989bd49c_0_150.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3"/>
        </w:numPr>
      </w:pPr>
      <w:r>
        <w:t xml:space="preserve">Click on the cloud icon on the far right to access your Cloud Environment options. If you don’t see this icon, you may need to scroll to the right.</w:t>
      </w:r>
    </w:p>
    <w:p>
      <w:pPr>
        <w:numPr>
          <w:ilvl w:val="0"/>
          <w:numId w:val="1000"/>
        </w:numPr>
      </w:pPr>
      <w:r>
        <w:drawing>
          <wp:inline>
            <wp:extent cx="5334000" cy="3000375"/>
            <wp:effectExtent b="0" l="0" r="0" t="0"/>
            <wp:docPr descr="" title="" id="78" name="Picture"/>
            <a:graphic>
              <a:graphicData uri="http://schemas.openxmlformats.org/drawingml/2006/picture">
                <pic:pic>
                  <pic:nvPicPr>
                    <pic:cNvPr descr="resources/images/resources/images/09-student_guide_files/figure-docx//1a35Mb8f0M-bQkBcHa1cyQc6YxXoBLtExCz96nv08vkA_g14ea2db115d_0_22.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81" name="Picture"/>
            <a:graphic>
              <a:graphicData uri="http://schemas.openxmlformats.org/drawingml/2006/picture">
                <pic:pic>
                  <pic:nvPicPr>
                    <pic:cNvPr descr="resources/images/resources/images/09-student_guide_files/figure-docx//1a35Mb8f0M-bQkBcHa1cyQc6YxXoBLtExCz96nv08vkA_g14ea2db115d_0_18.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334000" cy="3000375"/>
            <wp:effectExtent b="0" l="0" r="0" t="0"/>
            <wp:docPr descr="" title="" id="84" name="Picture"/>
            <a:graphic>
              <a:graphicData uri="http://schemas.openxmlformats.org/drawingml/2006/picture">
                <pic:pic>
                  <pic:nvPicPr>
                    <pic:cNvPr descr="resources/images/resources/images/09-student_guide_files/figure-docx//1a35Mb8f0M-bQkBcHa1cyQc6YxXoBLtExCz96nv08vkA_g256428d32e5_0_10.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334000" cy="3000375"/>
            <wp:effectExtent b="0" l="0" r="0" t="0"/>
            <wp:docPr descr="" title="" id="87" name="Picture"/>
            <a:graphic>
              <a:graphicData uri="http://schemas.openxmlformats.org/drawingml/2006/picture">
                <pic:pic>
                  <pic:nvPicPr>
                    <pic:cNvPr descr="resources/images/resources/images/09-student_guide_files/figure-docx//1a35Mb8f0M-bQkBcHa1cyQc6YxXoBLtExCz96nv08vkA_g256428d32e5_0_16.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334000" cy="3000375"/>
            <wp:effectExtent b="0" l="0" r="0" t="0"/>
            <wp:docPr descr="" title="" id="90" name="Picture"/>
            <a:graphic>
              <a:graphicData uri="http://schemas.openxmlformats.org/drawingml/2006/picture">
                <pic:pic>
                  <pic:nvPicPr>
                    <pic:cNvPr descr="resources/images/resources/images/09-student_guide_files/figure-docx//1a35Mb8f0M-bQkBcHa1cyQc6YxXoBLtExCz96nv08vkA_g14ea2db115d_0_91.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93" name="Picture"/>
            <a:graphic>
              <a:graphicData uri="http://schemas.openxmlformats.org/drawingml/2006/picture">
                <pic:pic>
                  <pic:nvPicPr>
                    <pic:cNvPr descr="resources/images/resources/images/09-student_guide_files/figure-docx//1a35Mb8f0M-bQkBcHa1cyQc6YxXoBLtExCz96nv08vkA_g14ea2db115d_0_95.png" id="94"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96" name="Picture"/>
            <a:graphic>
              <a:graphicData uri="http://schemas.openxmlformats.org/drawingml/2006/picture">
                <pic:pic>
                  <pic:nvPicPr>
                    <pic:cNvPr descr="resources/images/resources/images/09-student_guide_files/figure-docx//1a35Mb8f0M-bQkBcHa1cyQc6YxXoBLtExCz96nv08vkA_g14ea2db115d_0_99.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99" name="Picture"/>
            <a:graphic>
              <a:graphicData uri="http://schemas.openxmlformats.org/drawingml/2006/picture">
                <pic:pic>
                  <pic:nvPicPr>
                    <pic:cNvPr descr="resources/images/resources/images/09-student_guide_files/figure-docx//1a35Mb8f0M-bQkBcHa1cyQc6YxXoBLtExCz96nv08vkA_g14ea2db115d_0_103.png" id="10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bookmarkEnd w:id="101"/>
    <w:bookmarkStart w:id="130" w:name="touring-rstudio"/>
    <w:p>
      <w:pPr>
        <w:pStyle w:val="Heading2"/>
      </w:pPr>
      <w:r>
        <w:rPr>
          <w:rStyle w:val="SectionNumber"/>
        </w:rPr>
        <w:t xml:space="preserve">2.3</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102">
        <w:r>
          <w:rPr>
            <w:rStyle w:val="Hyperlink"/>
          </w:rPr>
          <w:t xml:space="preserve">this vignette</w:t>
        </w:r>
      </w:hyperlink>
      <w:r>
        <w:t xml:space="preserve"> </w:t>
      </w:r>
      <w:r>
        <w:t xml:space="preserve">for more information.</w:t>
      </w:r>
    </w:p>
    <w:p>
      <w:pPr>
        <w:numPr>
          <w:ilvl w:val="0"/>
          <w:numId w:val="1004"/>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104" name="Picture"/>
            <a:graphic>
              <a:graphicData uri="http://schemas.openxmlformats.org/drawingml/2006/picture">
                <pic:pic>
                  <pic:nvPicPr>
                    <pic:cNvPr descr="resources/images/resources/images/09-student_guide_files/figure-docx//1BLTCaogA04bbeSD1tR1Wt-mVceQA6FHXa8FmFzIARrg_g11f12bc99af_0_49.pn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![](resources/images/resources/images/09-student_guide_files/figure-docx//1BLTCaogA04bbeSD1tR1Wt-mVceQA6FHXa8FmFzIARrg_g11f12bc99af_0_56.png)</w:t>
      </w:r>
    </w:p>
    <w:p>
      <w:pPr>
        <w:numPr>
          <w:ilvl w:val="0"/>
          <w:numId w:val="1005"/>
        </w:numPr>
      </w:pPr>
      <w:r>
        <w:t xml:space="preserve">Load the example data.</w:t>
      </w:r>
    </w:p>
    <w:p>
      <w:pPr>
        <w:numPr>
          <w:ilvl w:val="0"/>
          <w:numId w:val="1000"/>
        </w:numPr>
      </w:pPr>
      <w:r>
        <w:drawing>
          <wp:inline>
            <wp:extent cx="5334000" cy="3000375"/>
            <wp:effectExtent b="0" l="0" r="0" t="0"/>
            <wp:docPr descr="" title="" id="107" name="Picture"/>
            <a:graphic>
              <a:graphicData uri="http://schemas.openxmlformats.org/drawingml/2006/picture">
                <pic:pic>
                  <pic:nvPicPr>
                    <pic:cNvPr descr="resources/images/resources/images/09-student_guide_files/figure-docx//1BLTCaogA04bbeSD1tR1Wt-mVceQA6FHXa8FmFzIARrg_g11f12bc99af_0_56.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110" name="Picture"/>
            <a:graphic>
              <a:graphicData uri="http://schemas.openxmlformats.org/drawingml/2006/picture">
                <pic:pic>
                  <pic:nvPicPr>
                    <pic:cNvPr descr="resources/images/resources/images/09-student_guide_files/figure-docx//1BLTCaogA04bbeSD1tR1Wt-mVceQA6FHXa8FmFzIARrg_g11f12bc99af_0_70.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113" name="Picture"/>
            <a:graphic>
              <a:graphicData uri="http://schemas.openxmlformats.org/drawingml/2006/picture">
                <pic:pic>
                  <pic:nvPicPr>
                    <pic:cNvPr descr="resources/images/resources/images/09-student_guide_files/figure-docx//1BLTCaogA04bbeSD1tR1Wt-mVceQA6FHXa8FmFzIARrg_g11f12bc99af_0_77.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116" name="Picture"/>
            <a:graphic>
              <a:graphicData uri="http://schemas.openxmlformats.org/drawingml/2006/picture">
                <pic:pic>
                  <pic:nvPicPr>
                    <pic:cNvPr descr="resources/images/resources/images/09-student_guide_files/figure-docx//1BLTCaogA04bbeSD1tR1Wt-mVceQA6FHXa8FmFzIARrg_g1204ed6da7f_0_0.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119" name="Picture"/>
            <a:graphic>
              <a:graphicData uri="http://schemas.openxmlformats.org/drawingml/2006/picture">
                <pic:pic>
                  <pic:nvPicPr>
                    <pic:cNvPr descr="resources/images/resources/images/09-student_guide_files/figure-docx//1BLTCaogA04bbeSD1tR1Wt-mVceQA6FHXa8FmFzIARrg_g1204ed6da7f_0_12.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122" name="Picture"/>
            <a:graphic>
              <a:graphicData uri="http://schemas.openxmlformats.org/drawingml/2006/picture">
                <pic:pic>
                  <pic:nvPicPr>
                    <pic:cNvPr descr="resources/images/resources/images/09-student_guide_files/figure-docx//1BLTCaogA04bbeSD1tR1Wt-mVceQA6FHXa8FmFzIARrg_g1204ed6da7f_0_19.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125" name="Picture"/>
            <a:graphic>
              <a:graphicData uri="http://schemas.openxmlformats.org/drawingml/2006/picture">
                <pic:pic>
                  <pic:nvPicPr>
                    <pic:cNvPr descr="resources/images/resources/images/09-student_guide_files/figure-docx//1BLTCaogA04bbeSD1tR1Wt-mVceQA6FHXa8FmFzIARrg_g1204ed6db6a_0_0.png" id="126"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128" name="Picture"/>
            <a:graphic>
              <a:graphicData uri="http://schemas.openxmlformats.org/drawingml/2006/picture">
                <pic:pic>
                  <pic:nvPicPr>
                    <pic:cNvPr descr="resources/images/resources/images/09-student_guide_files/figure-docx//1BLTCaogA04bbeSD1tR1Wt-mVceQA6FHXa8FmFzIARrg_g1204ed6db6a_0_8.png" id="129"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bookmarkEnd w:id="130"/>
    <w:bookmarkStart w:id="150" w:name="pausing-rstudio"/>
    <w:p>
      <w:pPr>
        <w:pStyle w:val="Heading2"/>
      </w:pPr>
      <w:r>
        <w:rPr>
          <w:rStyle w:val="SectionNumber"/>
        </w:rPr>
        <w:t xml:space="preserve">2.4</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6"/>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334000" cy="3000375"/>
            <wp:effectExtent b="0" l="0" r="0" t="0"/>
            <wp:docPr descr="" title="" id="132" name="Picture"/>
            <a:graphic>
              <a:graphicData uri="http://schemas.openxmlformats.org/drawingml/2006/picture">
                <pic:pic>
                  <pic:nvPicPr>
                    <pic:cNvPr descr="resources/images/resources/images/09-student_guide_files/figure-docx//16s-TjOg19RrkxS9sM9fGfD0M_WIxlw-e8PFWDymjvRU_g230ed3a46c7_0_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334000" cy="3000375"/>
            <wp:effectExtent b="0" l="0" r="0" t="0"/>
            <wp:docPr descr="" title="" id="135" name="Picture"/>
            <a:graphic>
              <a:graphicData uri="http://schemas.openxmlformats.org/drawingml/2006/picture">
                <pic:pic>
                  <pic:nvPicPr>
                    <pic:cNvPr descr="resources/images/resources/images/09-student_guide_files/figure-docx//16s-TjOg19RrkxS9sM9fGfD0M_WIxlw-e8PFWDymjvRU_g230ed3a46c7_0_6.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Click the Pause button to pause RStudio. This will take a few minutes.</w:t>
      </w:r>
    </w:p>
    <w:p>
      <w:pPr>
        <w:numPr>
          <w:ilvl w:val="0"/>
          <w:numId w:val="1000"/>
        </w:numPr>
      </w:pPr>
      <w:r>
        <w:drawing>
          <wp:inline>
            <wp:extent cx="5334000" cy="3000375"/>
            <wp:effectExtent b="0" l="0" r="0" t="0"/>
            <wp:docPr descr="" title="" id="138" name="Picture"/>
            <a:graphic>
              <a:graphicData uri="http://schemas.openxmlformats.org/drawingml/2006/picture">
                <pic:pic>
                  <pic:nvPicPr>
                    <pic:cNvPr descr="resources/images/resources/images/09-student_guide_files/figure-docx//16s-TjOg19RrkxS9sM9fGfD0M_WIxlw-e8PFWDymjvRU_g230ed3a46c7_0_231.png" id="139"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334000" cy="3000375"/>
            <wp:effectExtent b="0" l="0" r="0" t="0"/>
            <wp:docPr descr="" title="" id="141" name="Picture"/>
            <a:graphic>
              <a:graphicData uri="http://schemas.openxmlformats.org/drawingml/2006/picture">
                <pic:pic>
                  <pic:nvPicPr>
                    <pic:cNvPr descr="resources/images/resources/images/09-student_guide_files/figure-docx//16s-TjOg19RrkxS9sM9fGfD0M_WIxlw-e8PFWDymjvRU_g230ed3a46c7_0_237.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44" name="Picture"/>
            <a:graphic>
              <a:graphicData uri="http://schemas.openxmlformats.org/drawingml/2006/picture">
                <pic:pic>
                  <pic:nvPicPr>
                    <pic:cNvPr descr="resources/images/resources/images/09-student_guide_files/figure-docx//1BLTCaogA04bbeSD1tR1Wt-mVceQA6FHXa8FmFzIARrg_g11f12bc99af_0_84.pn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47" name="Picture"/>
            <a:graphic>
              <a:graphicData uri="http://schemas.openxmlformats.org/drawingml/2006/picture">
                <pic:pic>
                  <pic:nvPicPr>
                    <pic:cNvPr descr="resources/images/resources/images/09-student_guide_files/figure-docx//1BLTCaogA04bbeSD1tR1Wt-mVceQA6FHXa8FmFzIARrg_g11f12bc99af_0_91.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49">
        <w:r>
          <w:rPr>
            <w:rStyle w:val="Hyperlink"/>
          </w:rPr>
          <w:t xml:space="preserve">https://anvil.terra.bio/#clusters</w:t>
        </w:r>
      </w:hyperlink>
      <w:r>
        <w:t xml:space="preserve">.</w:t>
      </w:r>
    </w:p>
    <w:bookmarkEnd w:id="150"/>
    <w:bookmarkEnd w:id="151"/>
    <w:bookmarkStart w:id="154" w:name="introduction"/>
    <w:p>
      <w:pPr>
        <w:pStyle w:val="Heading1"/>
      </w:pPr>
      <w:r>
        <w:rPr>
          <w:rStyle w:val="SectionNumber"/>
        </w:rPr>
        <w:t xml:space="preserve">3</w:t>
      </w:r>
      <w:r>
        <w:tab/>
      </w:r>
      <w:r>
        <w:t xml:space="preserve">Introduction</w:t>
      </w:r>
    </w:p>
    <w:p>
      <w:pPr>
        <w:pStyle w:val="FirstParagraph"/>
      </w:pPr>
      <w:r>
        <w:t xml:space="preserve">In this activity, you’ll have a chance to become familiar with the BioDIGS soil testing data. This dataset includes information on the inorganic components of each soil sample, particularly metal concentrations. Human activity can increase the concentration of inorganic compounds in the soil. When cars drive on roads, compounds from the exhaust, oil, and other fluids might settle onto the roads and be washed into the soil. When we put salt on roads, parking lots, and sidewalks, the salts themselves will eventually be washed away and enter the ecosystem through both water and soil. Chemicals from factories and other businesses also leech into our environment. All of this means the concentration of heavy metals and other chemicals will vary among the soil samples collected for the BioDIGS project.</w:t>
      </w:r>
    </w:p>
    <w:bookmarkStart w:id="152" w:name="before-you-start"/>
    <w:p>
      <w:pPr>
        <w:pStyle w:val="Heading2"/>
      </w:pPr>
      <w:r>
        <w:rPr>
          <w:rStyle w:val="SectionNumber"/>
        </w:rPr>
        <w:t xml:space="preserve">3.1</w:t>
      </w:r>
      <w:r>
        <w:tab/>
      </w:r>
      <w:r>
        <w:t xml:space="preserve">Before You Start</w:t>
      </w:r>
    </w:p>
    <w:p>
      <w:pPr>
        <w:pStyle w:val="FirstParagraph"/>
      </w:pPr>
      <w:r>
        <w:t xml:space="preserve">If you do not already have a Google account that you would like to use for accessing Terra,</w:t>
      </w:r>
      <w:r>
        <w:t xml:space="preserve"> </w:t>
      </w:r>
      <w:hyperlink r:id="rId39">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0">
        <w:r>
          <w:rPr>
            <w:rStyle w:val="Hyperlink"/>
          </w:rPr>
          <w:t xml:space="preserve">these instructions</w:t>
        </w:r>
      </w:hyperlink>
      <w:r>
        <w:t xml:space="preserve">.</w:t>
      </w:r>
    </w:p>
    <w:bookmarkEnd w:id="152"/>
    <w:bookmarkStart w:id="153" w:name="objectives-1"/>
    <w:p>
      <w:pPr>
        <w:pStyle w:val="Heading2"/>
      </w:pPr>
      <w:r>
        <w:rPr>
          <w:rStyle w:val="SectionNumber"/>
        </w:rPr>
        <w:t xml:space="preserve">3.2</w:t>
      </w:r>
      <w:r>
        <w:tab/>
      </w:r>
      <w:r>
        <w:t xml:space="preserve">Objectives</w:t>
      </w:r>
    </w:p>
    <w:p>
      <w:pPr>
        <w:pStyle w:val="FirstParagraph"/>
      </w:pPr>
      <w:r>
        <w:t xml:space="preserve">This activity will teach you how to use the AnVIL platform to:</w:t>
      </w:r>
    </w:p>
    <w:p>
      <w:pPr>
        <w:numPr>
          <w:ilvl w:val="0"/>
          <w:numId w:val="1007"/>
        </w:numPr>
        <w:pStyle w:val="Compact"/>
      </w:pPr>
      <w:r>
        <w:t xml:space="preserve">Open data from an R package</w:t>
      </w:r>
    </w:p>
    <w:p>
      <w:pPr>
        <w:numPr>
          <w:ilvl w:val="0"/>
          <w:numId w:val="1007"/>
        </w:numPr>
        <w:pStyle w:val="Compact"/>
      </w:pPr>
      <w:r>
        <w:t xml:space="preserve">Examine objects in R</w:t>
      </w:r>
    </w:p>
    <w:p>
      <w:pPr>
        <w:numPr>
          <w:ilvl w:val="0"/>
          <w:numId w:val="1007"/>
        </w:numPr>
        <w:pStyle w:val="Compact"/>
      </w:pPr>
      <w:r>
        <w:t xml:space="preserve">Calculate summary statistics for variables in the soil testing data</w:t>
      </w:r>
    </w:p>
    <w:p>
      <w:pPr>
        <w:numPr>
          <w:ilvl w:val="0"/>
          <w:numId w:val="1007"/>
        </w:numPr>
        <w:pStyle w:val="Compact"/>
      </w:pPr>
      <w:r>
        <w:t xml:space="preserve">Create and interpret histograms and boxplots for variables in the soil testing data</w:t>
      </w:r>
    </w:p>
    <w:bookmarkEnd w:id="153"/>
    <w:bookmarkEnd w:id="154"/>
    <w:bookmarkStart w:id="156" w:name="part-1.-examining-the-data"/>
    <w:p>
      <w:pPr>
        <w:pStyle w:val="Heading1"/>
      </w:pPr>
      <w:r>
        <w:rPr>
          <w:rStyle w:val="SectionNumber"/>
        </w:rPr>
        <w:t xml:space="preserve">4</w:t>
      </w:r>
      <w:r>
        <w:tab/>
      </w:r>
      <w:r>
        <w:t xml:space="preserve">Part 1. Examining the Data</w:t>
      </w:r>
    </w:p>
    <w:p>
      <w:pPr>
        <w:pStyle w:val="FirstParagraph"/>
      </w:pPr>
      <w:r>
        <w:t xml:space="preserve">We will use the</w:t>
      </w:r>
      <w:r>
        <w:t xml:space="preserve"> </w:t>
      </w:r>
      <w:r>
        <w:rPr>
          <w:rStyle w:val="VerbatimChar"/>
        </w:rPr>
        <w:t xml:space="preserve">BioDIGS</w:t>
      </w:r>
      <w:r>
        <w:t xml:space="preserve"> </w:t>
      </w:r>
      <w:r>
        <w:t xml:space="preserve">package to retrieve the data. We first need to install the package from where it is stored on GitHub.</w:t>
      </w:r>
    </w:p>
    <w:p>
      <w:pPr>
        <w:pStyle w:val="BodyText"/>
      </w:pPr>
      <w:r>
        <w:t xml:space="preserve">Once you’ve installed the package, we can load the library and assign the soil testing data to an</w:t>
      </w:r>
      <w:r>
        <w:t xml:space="preserve"> </w:t>
      </w:r>
      <w:r>
        <w:rPr>
          <w:iCs/>
          <w:i/>
        </w:rPr>
        <w:t xml:space="preserve">object</w:t>
      </w:r>
      <w:r>
        <w:t xml:space="preserve">. This command follows the code structure:</w:t>
      </w:r>
    </w:p>
    <w:p>
      <w:pPr>
        <w:pStyle w:val="BodyText"/>
      </w:pPr>
      <w:r>
        <w:t xml:space="preserve">dataset_object_name &lt;- stored_BioDIGS_dataset</w:t>
      </w:r>
    </w:p>
    <w:p>
      <w:pPr>
        <w:pStyle w:val="BodyText"/>
      </w:pPr>
      <w:r>
        <w:t xml:space="preserve">It</w:t>
      </w:r>
      <w:r>
        <w:t xml:space="preserve"> </w:t>
      </w:r>
      <w:r>
        <w:rPr>
          <w:iCs/>
          <w:i/>
        </w:rPr>
        <w:t xml:space="preserve">seems</w:t>
      </w:r>
      <w:r>
        <w:t xml:space="preserve"> </w:t>
      </w:r>
      <w:r>
        <w:t xml:space="preserve">like the dataset loaded, but it’s always a good idea to verify. There are many ways to check, but the easiest approach (if you’re using RStudio) is to look at the Environment tab on the upper right-hand side of the screen. You should now have an object called</w:t>
      </w:r>
      <w:r>
        <w:t xml:space="preserve"> </w:t>
      </w:r>
      <w:r>
        <w:rPr>
          <w:rStyle w:val="VerbatimChar"/>
        </w:rPr>
        <w:t xml:space="preserve">soil.values</w:t>
      </w:r>
      <w:r>
        <w:t xml:space="preserve"> </w:t>
      </w:r>
      <w:r>
        <w:t xml:space="preserve">that includes some number of observations for 28 variables. The</w:t>
      </w:r>
      <w:r>
        <w:t xml:space="preserve"> </w:t>
      </w:r>
      <w:r>
        <w:rPr>
          <w:iCs/>
          <w:i/>
        </w:rPr>
        <w:t xml:space="preserve">observations</w:t>
      </w:r>
      <w:r>
        <w:t xml:space="preserve"> </w:t>
      </w:r>
      <w:r>
        <w:t xml:space="preserve">refer to the number of rows in the dataset, while the</w:t>
      </w:r>
      <w:r>
        <w:t xml:space="preserve"> </w:t>
      </w:r>
      <w:r>
        <w:rPr>
          <w:iCs/>
          <w:i/>
        </w:rPr>
        <w:t xml:space="preserve">variables</w:t>
      </w:r>
      <w:r>
        <w:t xml:space="preserve"> </w:t>
      </w:r>
      <w:r>
        <w:t xml:space="preserve">tell you the number of columns. As long as neither the observations or variables are 0, you can be confident that your dataset loaded.</w:t>
      </w:r>
    </w:p>
    <w:p>
      <w:pPr>
        <w:pStyle w:val="BodyText"/>
      </w:pPr>
    </w:p>
    <w:p>
      <w:pPr>
        <w:pStyle w:val="BodyText"/>
      </w:pPr>
      <w:r>
        <w:t xml:space="preserve">Let’s take a quick look at the dataset. We can do this by clicking on soil.values object in the Environment tab. (Note: this is equivalent to typing</w:t>
      </w:r>
      <w:r>
        <w:t xml:space="preserve"> </w:t>
      </w:r>
      <w:r>
        <w:rPr>
          <w:rStyle w:val="VerbatimChar"/>
        </w:rPr>
        <w:t xml:space="preserve">View(soil.values)</w:t>
      </w:r>
      <w:r>
        <w:t xml:space="preserve"> </w:t>
      </w:r>
      <w:r>
        <w:t xml:space="preserve">in the R console.)</w:t>
      </w:r>
    </w:p>
    <w:p>
      <w:pPr>
        <w:pStyle w:val="BodyText"/>
      </w:pPr>
      <w:r>
        <w:t xml:space="preserve">This will open a new window for us to scroll through the dataset.</w:t>
      </w:r>
    </w:p>
    <w:p>
      <w:pPr>
        <w:pStyle w:val="BodyText"/>
      </w:pPr>
    </w:p>
    <w:p>
      <w:pPr>
        <w:pStyle w:val="BodyText"/>
      </w:pPr>
      <w:r>
        <w:t xml:space="preserve">Well, the data definitely loaded, but those column names aren’t immediately understandable. What could</w:t>
      </w:r>
      <w:r>
        <w:t xml:space="preserve"> </w:t>
      </w:r>
      <w:r>
        <w:rPr>
          <w:bCs/>
          <w:b/>
        </w:rPr>
        <w:t xml:space="preserve">As_EPA3051</w:t>
      </w:r>
      <w:r>
        <w:t xml:space="preserve"> </w:t>
      </w:r>
      <w:r>
        <w:t xml:space="preserve">possibly mean? In addition to the dataset, we need to load the</w:t>
      </w:r>
      <w:r>
        <w:t xml:space="preserve"> </w:t>
      </w:r>
      <w:r>
        <w:rPr>
          <w:iCs/>
          <w:i/>
        </w:rPr>
        <w:t xml:space="preserve">data dictionary</w:t>
      </w:r>
      <w:r>
        <w:t xml:space="preserve"> </w:t>
      </w:r>
      <w:r>
        <w:t xml:space="preserve">as well.</w:t>
      </w:r>
    </w:p>
    <w:p>
      <w:pPr>
        <w:pStyle w:val="BodyText"/>
      </w:pPr>
      <w:r>
        <w:rPr>
          <w:bCs/>
          <w:b/>
        </w:rPr>
        <w:t xml:space="preserve">Data dictionary:</w:t>
      </w:r>
      <w:r>
        <w:t xml:space="preserve"> </w:t>
      </w:r>
      <w:r>
        <w:t xml:space="preserve">a file containing the names, definitions, and attributes about data in a database or dataset.</w:t>
      </w:r>
    </w:p>
    <w:p>
      <w:pPr>
        <w:pStyle w:val="BodyText"/>
      </w:pPr>
      <w:r>
        <w:t xml:space="preserve">In this case, the data dictionary can help us make sense of what sort of values each column represents. The data dictionary for the BioDIGS soil testing data is available in the R package (see code below), but we have also reproduced it here.</w:t>
      </w:r>
    </w:p>
    <w:p>
      <w:pPr>
        <w:numPr>
          <w:ilvl w:val="0"/>
          <w:numId w:val="1008"/>
        </w:numPr>
        <w:pStyle w:val="Compact"/>
      </w:pPr>
      <w:r>
        <w:rPr>
          <w:bCs/>
          <w:b/>
        </w:rPr>
        <w:t xml:space="preserve">site_id</w:t>
      </w:r>
      <w:r>
        <w:t xml:space="preserve"> </w:t>
      </w:r>
      <w:r>
        <w:t xml:space="preserve">Unique letter and number site name</w:t>
      </w:r>
    </w:p>
    <w:p>
      <w:pPr>
        <w:numPr>
          <w:ilvl w:val="0"/>
          <w:numId w:val="1008"/>
        </w:numPr>
        <w:pStyle w:val="Compact"/>
      </w:pPr>
      <w:r>
        <w:rPr>
          <w:bCs/>
          <w:b/>
        </w:rPr>
        <w:t xml:space="preserve">full_name</w:t>
      </w:r>
      <w:r>
        <w:t xml:space="preserve"> </w:t>
      </w:r>
      <w:r>
        <w:t xml:space="preserve">Full site name</w:t>
      </w:r>
    </w:p>
    <w:p>
      <w:pPr>
        <w:numPr>
          <w:ilvl w:val="0"/>
          <w:numId w:val="1008"/>
        </w:numPr>
        <w:pStyle w:val="Compact"/>
      </w:pPr>
      <w:r>
        <w:rPr>
          <w:bCs/>
          <w:b/>
        </w:rPr>
        <w:t xml:space="preserve">As_EPA3051</w:t>
      </w:r>
      <w:r>
        <w:t xml:space="preserve"> </w:t>
      </w:r>
      <w:r>
        <w:t xml:space="preserve">Arsenic (mg/kg), EPA Method 3051A. Quantities &lt; 3.0 are not detectable.</w:t>
      </w:r>
    </w:p>
    <w:p>
      <w:pPr>
        <w:numPr>
          <w:ilvl w:val="0"/>
          <w:numId w:val="1008"/>
        </w:numPr>
        <w:pStyle w:val="Compact"/>
      </w:pPr>
      <w:r>
        <w:rPr>
          <w:bCs/>
          <w:b/>
        </w:rPr>
        <w:t xml:space="preserve">Cd_EPA3051</w:t>
      </w:r>
      <w:r>
        <w:t xml:space="preserve"> </w:t>
      </w:r>
      <w:r>
        <w:t xml:space="preserve">Cadmium (mg/kg), EPA Method 3051A. Quantities &lt; 0.2 are not detectable.</w:t>
      </w:r>
    </w:p>
    <w:p>
      <w:pPr>
        <w:numPr>
          <w:ilvl w:val="0"/>
          <w:numId w:val="1008"/>
        </w:numPr>
        <w:pStyle w:val="Compact"/>
      </w:pPr>
      <w:r>
        <w:rPr>
          <w:bCs/>
          <w:b/>
        </w:rPr>
        <w:t xml:space="preserve">Cr_EPA3051</w:t>
      </w:r>
      <w:r>
        <w:t xml:space="preserve"> </w:t>
      </w:r>
      <w:r>
        <w:t xml:space="preserve">Chromium (mg/kg), EPA Method 3051A</w:t>
      </w:r>
    </w:p>
    <w:p>
      <w:pPr>
        <w:numPr>
          <w:ilvl w:val="0"/>
          <w:numId w:val="1008"/>
        </w:numPr>
        <w:pStyle w:val="Compact"/>
      </w:pPr>
      <w:r>
        <w:rPr>
          <w:bCs/>
          <w:b/>
        </w:rPr>
        <w:t xml:space="preserve">Cu_EPA3051</w:t>
      </w:r>
      <w:r>
        <w:t xml:space="preserve"> </w:t>
      </w:r>
      <w:r>
        <w:t xml:space="preserve">Copper (mg/kg), EPA Method 3051A</w:t>
      </w:r>
    </w:p>
    <w:p>
      <w:pPr>
        <w:numPr>
          <w:ilvl w:val="0"/>
          <w:numId w:val="1008"/>
        </w:numPr>
        <w:pStyle w:val="Compact"/>
      </w:pPr>
      <w:r>
        <w:rPr>
          <w:bCs/>
          <w:b/>
        </w:rPr>
        <w:t xml:space="preserve">Ni_EPA3051</w:t>
      </w:r>
      <w:r>
        <w:t xml:space="preserve"> </w:t>
      </w:r>
      <w:r>
        <w:t xml:space="preserve">Nickel (mg/kg), EPA Method 3051A</w:t>
      </w:r>
    </w:p>
    <w:p>
      <w:pPr>
        <w:numPr>
          <w:ilvl w:val="0"/>
          <w:numId w:val="1008"/>
        </w:numPr>
        <w:pStyle w:val="Compact"/>
      </w:pPr>
      <w:r>
        <w:rPr>
          <w:bCs/>
          <w:b/>
        </w:rPr>
        <w:t xml:space="preserve">Pb_EPA3051</w:t>
      </w:r>
      <w:r>
        <w:t xml:space="preserve"> </w:t>
      </w:r>
      <w:r>
        <w:t xml:space="preserve">Lead (mg/kg), EPA Method 3051A</w:t>
      </w:r>
    </w:p>
    <w:p>
      <w:pPr>
        <w:numPr>
          <w:ilvl w:val="0"/>
          <w:numId w:val="1008"/>
        </w:numPr>
        <w:pStyle w:val="Compact"/>
      </w:pPr>
      <w:r>
        <w:rPr>
          <w:bCs/>
          <w:b/>
        </w:rPr>
        <w:t xml:space="preserve">Zn_EPA3051</w:t>
      </w:r>
      <w:r>
        <w:t xml:space="preserve"> </w:t>
      </w:r>
      <w:r>
        <w:t xml:space="preserve">Zinc (mg/kg), EPA Method 3051A</w:t>
      </w:r>
    </w:p>
    <w:p>
      <w:pPr>
        <w:numPr>
          <w:ilvl w:val="0"/>
          <w:numId w:val="1008"/>
        </w:numPr>
        <w:pStyle w:val="Compact"/>
      </w:pPr>
      <w:r>
        <w:rPr>
          <w:bCs/>
          <w:b/>
        </w:rPr>
        <w:t xml:space="preserve">water_pH</w:t>
      </w:r>
    </w:p>
    <w:p>
      <w:pPr>
        <w:numPr>
          <w:ilvl w:val="0"/>
          <w:numId w:val="1008"/>
        </w:numPr>
        <w:pStyle w:val="Compact"/>
      </w:pPr>
      <w:r>
        <w:rPr>
          <w:bCs/>
          <w:b/>
        </w:rPr>
        <w:t xml:space="preserve">A-E_Buffer_pH</w:t>
      </w:r>
    </w:p>
    <w:p>
      <w:pPr>
        <w:numPr>
          <w:ilvl w:val="0"/>
          <w:numId w:val="1008"/>
        </w:numPr>
        <w:pStyle w:val="Compact"/>
      </w:pPr>
      <w:r>
        <w:rPr>
          <w:bCs/>
          <w:b/>
        </w:rPr>
        <w:t xml:space="preserve">OM_by_LOI_pct</w:t>
      </w:r>
      <w:r>
        <w:t xml:space="preserve"> </w:t>
      </w:r>
      <w:r>
        <w:t xml:space="preserve">Organic Matter by Loss on Ignition</w:t>
      </w:r>
    </w:p>
    <w:p>
      <w:pPr>
        <w:numPr>
          <w:ilvl w:val="0"/>
          <w:numId w:val="1008"/>
        </w:numPr>
        <w:pStyle w:val="Compact"/>
      </w:pPr>
      <w:r>
        <w:rPr>
          <w:bCs/>
          <w:b/>
        </w:rPr>
        <w:t xml:space="preserve">P_Mehlich3</w:t>
      </w:r>
      <w:r>
        <w:t xml:space="preserve"> </w:t>
      </w:r>
      <w:r>
        <w:t xml:space="preserve">Phosphorus (mg/kg), using the Mehlich 3 soil test extractant</w:t>
      </w:r>
    </w:p>
    <w:p>
      <w:pPr>
        <w:numPr>
          <w:ilvl w:val="0"/>
          <w:numId w:val="1008"/>
        </w:numPr>
        <w:pStyle w:val="Compact"/>
      </w:pPr>
      <w:r>
        <w:rPr>
          <w:bCs/>
          <w:b/>
        </w:rPr>
        <w:t xml:space="preserve">K_Mehlich3 Potassium</w:t>
      </w:r>
      <w:r>
        <w:t xml:space="preserve"> </w:t>
      </w:r>
      <w:r>
        <w:t xml:space="preserve">(mg/kg), using the Mehlich 3 soil test extractant</w:t>
      </w:r>
    </w:p>
    <w:p>
      <w:pPr>
        <w:numPr>
          <w:ilvl w:val="0"/>
          <w:numId w:val="1008"/>
        </w:numPr>
        <w:pStyle w:val="Compact"/>
      </w:pPr>
      <w:r>
        <w:rPr>
          <w:bCs/>
          <w:b/>
        </w:rPr>
        <w:t xml:space="preserve">Ca_Mehlich3</w:t>
      </w:r>
      <w:r>
        <w:t xml:space="preserve"> </w:t>
      </w:r>
      <w:r>
        <w:t xml:space="preserve">Calcium (mg/kg), using the Mehlich 3 soil test extractant</w:t>
      </w:r>
    </w:p>
    <w:p>
      <w:pPr>
        <w:numPr>
          <w:ilvl w:val="0"/>
          <w:numId w:val="1008"/>
        </w:numPr>
        <w:pStyle w:val="Compact"/>
      </w:pPr>
      <w:r>
        <w:rPr>
          <w:bCs/>
          <w:b/>
        </w:rPr>
        <w:t xml:space="preserve">Mg_Mehlich3</w:t>
      </w:r>
      <w:r>
        <w:t xml:space="preserve"> </w:t>
      </w:r>
      <w:r>
        <w:t xml:space="preserve">Magnesium (mg/kg), using the Mehlich 3 soil test extractant</w:t>
      </w:r>
    </w:p>
    <w:p>
      <w:pPr>
        <w:numPr>
          <w:ilvl w:val="0"/>
          <w:numId w:val="1008"/>
        </w:numPr>
        <w:pStyle w:val="Compact"/>
      </w:pPr>
      <w:r>
        <w:rPr>
          <w:bCs/>
          <w:b/>
        </w:rPr>
        <w:t xml:space="preserve">Mn_Mehlich3</w:t>
      </w:r>
      <w:r>
        <w:t xml:space="preserve"> </w:t>
      </w:r>
      <w:r>
        <w:t xml:space="preserve">Manganese (mg/kg), using the Mehlich 3 soil test extractant</w:t>
      </w:r>
    </w:p>
    <w:p>
      <w:pPr>
        <w:numPr>
          <w:ilvl w:val="0"/>
          <w:numId w:val="1008"/>
        </w:numPr>
        <w:pStyle w:val="Compact"/>
      </w:pPr>
      <w:r>
        <w:rPr>
          <w:bCs/>
          <w:b/>
        </w:rPr>
        <w:t xml:space="preserve">Zn_Mehlich3</w:t>
      </w:r>
      <w:r>
        <w:t xml:space="preserve"> </w:t>
      </w:r>
      <w:r>
        <w:t xml:space="preserve">Zinc (mg/kg), using the Mehlich 3 soil test extractant</w:t>
      </w:r>
    </w:p>
    <w:p>
      <w:pPr>
        <w:numPr>
          <w:ilvl w:val="0"/>
          <w:numId w:val="1008"/>
        </w:numPr>
        <w:pStyle w:val="Compact"/>
      </w:pPr>
      <w:r>
        <w:rPr>
          <w:bCs/>
          <w:b/>
        </w:rPr>
        <w:t xml:space="preserve">Cu_Mehlich3</w:t>
      </w:r>
      <w:r>
        <w:t xml:space="preserve"> </w:t>
      </w:r>
      <w:r>
        <w:t xml:space="preserve">Copper (mg/kg), using the Mehlich 3 soil test extractant</w:t>
      </w:r>
    </w:p>
    <w:p>
      <w:pPr>
        <w:numPr>
          <w:ilvl w:val="0"/>
          <w:numId w:val="1008"/>
        </w:numPr>
        <w:pStyle w:val="Compact"/>
      </w:pPr>
      <w:r>
        <w:rPr>
          <w:bCs/>
          <w:b/>
        </w:rPr>
        <w:t xml:space="preserve">Fe_Mehlich3</w:t>
      </w:r>
      <w:r>
        <w:t xml:space="preserve"> </w:t>
      </w:r>
      <w:r>
        <w:t xml:space="preserve">Iron (mg/kg), using the Mehlich 3 soil test extractant</w:t>
      </w:r>
    </w:p>
    <w:p>
      <w:pPr>
        <w:numPr>
          <w:ilvl w:val="0"/>
          <w:numId w:val="1008"/>
        </w:numPr>
        <w:pStyle w:val="Compact"/>
      </w:pPr>
      <w:r>
        <w:rPr>
          <w:bCs/>
          <w:b/>
        </w:rPr>
        <w:t xml:space="preserve">B_Mehlich3</w:t>
      </w:r>
      <w:r>
        <w:t xml:space="preserve"> </w:t>
      </w:r>
      <w:r>
        <w:t xml:space="preserve">Boron (mg/kg), using the Mehlich 3 soil test extractant</w:t>
      </w:r>
    </w:p>
    <w:p>
      <w:pPr>
        <w:numPr>
          <w:ilvl w:val="0"/>
          <w:numId w:val="1008"/>
        </w:numPr>
        <w:pStyle w:val="Compact"/>
      </w:pPr>
      <w:r>
        <w:rPr>
          <w:bCs/>
          <w:b/>
        </w:rPr>
        <w:t xml:space="preserve">S_Mehlich3</w:t>
      </w:r>
      <w:r>
        <w:t xml:space="preserve"> </w:t>
      </w:r>
      <w:r>
        <w:t xml:space="preserve">Sulfur (mg/kg), using the Mehlich 3 soil test extractant</w:t>
      </w:r>
    </w:p>
    <w:p>
      <w:pPr>
        <w:numPr>
          <w:ilvl w:val="0"/>
          <w:numId w:val="1008"/>
        </w:numPr>
        <w:pStyle w:val="Compact"/>
      </w:pPr>
      <w:r>
        <w:rPr>
          <w:bCs/>
          <w:b/>
        </w:rPr>
        <w:t xml:space="preserve">Na_Mehlich3</w:t>
      </w:r>
      <w:r>
        <w:t xml:space="preserve"> </w:t>
      </w:r>
      <w:r>
        <w:t xml:space="preserve">Sodium (mg/kg), using the Mehlich 3 soil test extractant</w:t>
      </w:r>
    </w:p>
    <w:p>
      <w:pPr>
        <w:numPr>
          <w:ilvl w:val="0"/>
          <w:numId w:val="1008"/>
        </w:numPr>
        <w:pStyle w:val="Compact"/>
      </w:pPr>
      <w:r>
        <w:rPr>
          <w:bCs/>
          <w:b/>
        </w:rPr>
        <w:t xml:space="preserve">Al_Mehlich3</w:t>
      </w:r>
      <w:r>
        <w:t xml:space="preserve"> </w:t>
      </w:r>
      <w:r>
        <w:t xml:space="preserve">Aluminum (mg/kg), using the Mehlich 3 soil test extractant</w:t>
      </w:r>
    </w:p>
    <w:p>
      <w:pPr>
        <w:numPr>
          <w:ilvl w:val="0"/>
          <w:numId w:val="1008"/>
        </w:numPr>
        <w:pStyle w:val="Compact"/>
      </w:pPr>
      <w:r>
        <w:rPr>
          <w:bCs/>
          <w:b/>
        </w:rPr>
        <w:t xml:space="preserve">Est_CEC</w:t>
      </w:r>
      <w:r>
        <w:t xml:space="preserve"> </w:t>
      </w:r>
      <w:r>
        <w:t xml:space="preserve">Cation Exchange Capacity (meq/100g) at pH 7.0 (CEC)</w:t>
      </w:r>
    </w:p>
    <w:p>
      <w:pPr>
        <w:numPr>
          <w:ilvl w:val="0"/>
          <w:numId w:val="1008"/>
        </w:numPr>
        <w:pStyle w:val="Compact"/>
      </w:pPr>
      <w:r>
        <w:rPr>
          <w:bCs/>
          <w:b/>
        </w:rPr>
        <w:t xml:space="preserve">Base_Sat_pct</w:t>
      </w:r>
      <w:r>
        <w:t xml:space="preserve"> </w:t>
      </w:r>
      <w:r>
        <w:t xml:space="preserve">Base saturation (BS). This represents the percentage of CEC occupied by bases (Ca2+, Mg2+, K+, and Na+). The %BS increases with increasing soil pH. The availability of Ca2+, Mg2+, and K+ increases with increasing %BS.</w:t>
      </w:r>
    </w:p>
    <w:p>
      <w:pPr>
        <w:numPr>
          <w:ilvl w:val="0"/>
          <w:numId w:val="1008"/>
        </w:numPr>
        <w:pStyle w:val="Compact"/>
      </w:pPr>
      <w:r>
        <w:rPr>
          <w:bCs/>
          <w:b/>
        </w:rPr>
        <w:t xml:space="preserve">P_Sat_ratio</w:t>
      </w:r>
      <w:r>
        <w:t xml:space="preserve"> </w:t>
      </w:r>
      <w:r>
        <w:t xml:space="preserve">Phosphorus saturation ratio. This is the ratio between the amount of phosphorus present in the soil and the total capacity of that soil to retain phosphorus. The ability of phosphorus to be bound in the soil is primary a function of iron (Fe) and aluminum (Al) content in that soil.</w:t>
      </w:r>
    </w:p>
    <w:p>
      <w:pPr>
        <w:pStyle w:val="FirstParagraph"/>
      </w:pPr>
      <w:r>
        <w:t xml:space="preserve">Using the data dictionary, we find that the values in column</w:t>
      </w:r>
      <w:r>
        <w:t xml:space="preserve"> </w:t>
      </w:r>
      <w:r>
        <w:rPr>
          <w:rStyle w:val="VerbatimChar"/>
        </w:rPr>
        <w:t xml:space="preserve">As_EPA3051</w:t>
      </w:r>
      <w:r>
        <w:t xml:space="preserve"> </w:t>
      </w:r>
      <w:r>
        <w:t xml:space="preserve">give us the arsenic concentration in mg/kg of each soil sample, as determined by</w:t>
      </w:r>
      <w:r>
        <w:t xml:space="preserve"> </w:t>
      </w:r>
      <w:hyperlink r:id="rId155">
        <w:r>
          <w:rPr>
            <w:rStyle w:val="Hyperlink"/>
          </w:rPr>
          <w:t xml:space="preserve">EPA Method 3051A</w:t>
        </w:r>
      </w:hyperlink>
      <w:r>
        <w:t xml:space="preserve">. This method uses a combination of heat and acid to extract specific elements (like arsenic, cadmium, chromium, copper, nickel, lead, and zinc) from soil samples.</w:t>
      </w:r>
    </w:p>
    <w:p>
      <w:pPr>
        <w:pStyle w:val="BodyText"/>
      </w:pPr>
      <w:r>
        <w:t xml:space="preserve">While arsenic can occur naturally in soils, higher levels suggest the soil may have been contaminated by mining, hazardous waste, or pesticide application. Arsenic is toxic to humans.</w:t>
      </w:r>
    </w:p>
    <w:p>
      <w:pPr>
        <w:pStyle w:val="BodyText"/>
      </w:pPr>
      <w:r>
        <w:t xml:space="preserve">QUESTIONS:</w:t>
      </w:r>
    </w:p>
    <w:p>
      <w:pPr>
        <w:numPr>
          <w:ilvl w:val="0"/>
          <w:numId w:val="1009"/>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09"/>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pStyle w:val="FirstParagraph"/>
      </w:pPr>
      <w:r>
        <w:t xml:space="preserve">We can also look at just the names of all the columns using the R console using the</w:t>
      </w:r>
      <w:r>
        <w:t xml:space="preserve"> </w:t>
      </w:r>
      <w:r>
        <w:rPr>
          <w:rStyle w:val="VerbatimChar"/>
        </w:rPr>
        <w:t xml:space="preserve">colnames()</w:t>
      </w:r>
      <w:r>
        <w:t xml:space="preserve"> </w:t>
      </w:r>
      <w:r>
        <w:t xml:space="preserve">command.</w:t>
      </w:r>
    </w:p>
    <w:p>
      <w:pPr>
        <w:pStyle w:val="BodyText"/>
      </w:pPr>
      <w:r>
        <w:t xml:space="preserve">[1]</w:t>
      </w:r>
      <w:r>
        <w:t xml:space="preserve"> </w:t>
      </w:r>
      <w:r>
        <w:t xml:space="preserve">“</w:t>
      </w:r>
      <w:r>
        <w:t xml:space="preserve">site_id</w:t>
      </w:r>
      <w:r>
        <w:t xml:space="preserve">”</w:t>
      </w:r>
      <w:r>
        <w:t xml:space="preserve"> </w:t>
      </w:r>
      <w:r>
        <w:t xml:space="preserve">“</w:t>
      </w:r>
      <w:r>
        <w:t xml:space="preserve">site_name</w:t>
      </w:r>
      <w:r>
        <w:t xml:space="preserve">”</w:t>
      </w:r>
      <w:r>
        <w:t xml:space="preserve"> </w:t>
      </w:r>
      <w:r>
        <w:t xml:space="preserve">“</w:t>
      </w:r>
      <w:r>
        <w:t xml:space="preserve">type</w:t>
      </w:r>
      <w:r>
        <w:t xml:space="preserve">”</w:t>
      </w:r>
      <w:r>
        <w:t xml:space="preserve"> </w:t>
      </w:r>
      <w:r>
        <w:t xml:space="preserve">“</w:t>
      </w:r>
      <w:r>
        <w:t xml:space="preserve">As_EPA3051</w:t>
      </w:r>
      <w:r>
        <w:t xml:space="preserve">”</w:t>
      </w:r>
      <w:r>
        <w:br/>
      </w:r>
      <w:r>
        <w:t xml:space="preserve">[5]</w:t>
      </w:r>
      <w:r>
        <w:t xml:space="preserve"> </w:t>
      </w:r>
      <w:r>
        <w:t xml:space="preserve">“</w:t>
      </w:r>
      <w:r>
        <w:t xml:space="preserve">Cd_EPA3051</w:t>
      </w:r>
      <w:r>
        <w:t xml:space="preserve">”</w:t>
      </w:r>
      <w:r>
        <w:t xml:space="preserve"> </w:t>
      </w:r>
      <w:r>
        <w:t xml:space="preserve">“</w:t>
      </w:r>
      <w:r>
        <w:t xml:space="preserve">Cr_EPA3051</w:t>
      </w:r>
      <w:r>
        <w:t xml:space="preserve">”</w:t>
      </w:r>
      <w:r>
        <w:t xml:space="preserve"> </w:t>
      </w:r>
      <w:r>
        <w:t xml:space="preserve">“</w:t>
      </w:r>
      <w:r>
        <w:t xml:space="preserve">Cu_EPA3051</w:t>
      </w:r>
      <w:r>
        <w:t xml:space="preserve">”</w:t>
      </w:r>
      <w:r>
        <w:t xml:space="preserve"> </w:t>
      </w:r>
      <w:r>
        <w:t xml:space="preserve">“</w:t>
      </w:r>
      <w:r>
        <w:t xml:space="preserve">Ni_EPA3051</w:t>
      </w:r>
      <w:r>
        <w:t xml:space="preserve">”</w:t>
      </w:r>
      <w:r>
        <w:br/>
      </w:r>
      <w:r>
        <w:t xml:space="preserve">[9]</w:t>
      </w:r>
      <w:r>
        <w:t xml:space="preserve"> </w:t>
      </w:r>
      <w:r>
        <w:t xml:space="preserve">“</w:t>
      </w:r>
      <w:r>
        <w:t xml:space="preserve">Pb_EPA3051</w:t>
      </w:r>
      <w:r>
        <w:t xml:space="preserve">”</w:t>
      </w:r>
      <w:r>
        <w:t xml:space="preserve"> </w:t>
      </w:r>
      <w:r>
        <w:t xml:space="preserve">“</w:t>
      </w:r>
      <w:r>
        <w:t xml:space="preserve">Zn_EPA3051</w:t>
      </w:r>
      <w:r>
        <w:t xml:space="preserve">”</w:t>
      </w:r>
      <w:r>
        <w:t xml:space="preserve"> </w:t>
      </w:r>
      <w:r>
        <w:t xml:space="preserve">“</w:t>
      </w:r>
      <w:r>
        <w:t xml:space="preserve">water_pH</w:t>
      </w:r>
      <w:r>
        <w:t xml:space="preserve">”</w:t>
      </w:r>
      <w:r>
        <w:t xml:space="preserve"> </w:t>
      </w:r>
      <w:r>
        <w:t xml:space="preserve">“</w:t>
      </w:r>
      <w:r>
        <w:t xml:space="preserve">OM_by_LOI_pct</w:t>
      </w:r>
      <w:r>
        <w:t xml:space="preserve">”</w:t>
      </w:r>
      <w:r>
        <w:t xml:space="preserve"> </w:t>
      </w:r>
      <w:r>
        <w:t xml:space="preserve">[13]</w:t>
      </w:r>
      <w:r>
        <w:t xml:space="preserve"> </w:t>
      </w:r>
      <w:r>
        <w:t xml:space="preserve">“</w:t>
      </w:r>
      <w:r>
        <w:t xml:space="preserve">P_Mehlich3</w:t>
      </w:r>
      <w:r>
        <w:t xml:space="preserve">”</w:t>
      </w:r>
      <w:r>
        <w:t xml:space="preserve"> </w:t>
      </w:r>
      <w:r>
        <w:t xml:space="preserve">“</w:t>
      </w:r>
      <w:r>
        <w:t xml:space="preserve">K_Mehlich3</w:t>
      </w:r>
      <w:r>
        <w:t xml:space="preserve">”</w:t>
      </w:r>
      <w:r>
        <w:t xml:space="preserve"> </w:t>
      </w:r>
      <w:r>
        <w:t xml:space="preserve">“</w:t>
      </w:r>
      <w:r>
        <w:t xml:space="preserve">Ca_Mehlich3</w:t>
      </w:r>
      <w:r>
        <w:t xml:space="preserve">”</w:t>
      </w:r>
      <w:r>
        <w:t xml:space="preserve"> </w:t>
      </w:r>
      <w:r>
        <w:t xml:space="preserve">“</w:t>
      </w:r>
      <w:r>
        <w:t xml:space="preserve">Mg_Mehlich3</w:t>
      </w:r>
      <w:r>
        <w:t xml:space="preserve">”</w:t>
      </w:r>
      <w:r>
        <w:br/>
      </w:r>
      <w:r>
        <w:t xml:space="preserve">[17]</w:t>
      </w:r>
      <w:r>
        <w:t xml:space="preserve"> </w:t>
      </w:r>
      <w:r>
        <w:t xml:space="preserve">“</w:t>
      </w:r>
      <w:r>
        <w:t xml:space="preserve">Mn_Mehlich3</w:t>
      </w:r>
      <w:r>
        <w:t xml:space="preserve">”</w:t>
      </w:r>
      <w:r>
        <w:t xml:space="preserve"> </w:t>
      </w:r>
      <w:r>
        <w:t xml:space="preserve">“</w:t>
      </w:r>
      <w:r>
        <w:t xml:space="preserve">Zn_Mehlich3</w:t>
      </w:r>
      <w:r>
        <w:t xml:space="preserve">”</w:t>
      </w:r>
      <w:r>
        <w:t xml:space="preserve"> </w:t>
      </w:r>
      <w:r>
        <w:t xml:space="preserve">“</w:t>
      </w:r>
      <w:r>
        <w:t xml:space="preserve">Cu_Mehlich3</w:t>
      </w:r>
      <w:r>
        <w:t xml:space="preserve">”</w:t>
      </w:r>
      <w:r>
        <w:t xml:space="preserve"> </w:t>
      </w:r>
      <w:r>
        <w:t xml:space="preserve">“</w:t>
      </w:r>
      <w:r>
        <w:t xml:space="preserve">Fe_Mehlich3</w:t>
      </w:r>
      <w:r>
        <w:t xml:space="preserve">”</w:t>
      </w:r>
      <w:r>
        <w:br/>
      </w:r>
      <w:r>
        <w:t xml:space="preserve">[21]</w:t>
      </w:r>
      <w:r>
        <w:t xml:space="preserve"> </w:t>
      </w:r>
      <w:r>
        <w:t xml:space="preserve">“</w:t>
      </w:r>
      <w:r>
        <w:t xml:space="preserve">B_Mehlich3</w:t>
      </w:r>
      <w:r>
        <w:t xml:space="preserve">”</w:t>
      </w:r>
      <w:r>
        <w:t xml:space="preserve"> </w:t>
      </w:r>
      <w:r>
        <w:t xml:space="preserve">“</w:t>
      </w:r>
      <w:r>
        <w:t xml:space="preserve">S_Mehlich3</w:t>
      </w:r>
      <w:r>
        <w:t xml:space="preserve">”</w:t>
      </w:r>
      <w:r>
        <w:t xml:space="preserve"> </w:t>
      </w:r>
      <w:r>
        <w:t xml:space="preserve">“</w:t>
      </w:r>
      <w:r>
        <w:t xml:space="preserve">Na_Mehlich3</w:t>
      </w:r>
      <w:r>
        <w:t xml:space="preserve">”</w:t>
      </w:r>
      <w:r>
        <w:t xml:space="preserve"> </w:t>
      </w:r>
      <w:r>
        <w:t xml:space="preserve">“</w:t>
      </w:r>
      <w:r>
        <w:t xml:space="preserve">Al_Mehlich3</w:t>
      </w:r>
      <w:r>
        <w:t xml:space="preserve">”</w:t>
      </w:r>
      <w:r>
        <w:br/>
      </w:r>
      <w:r>
        <w:t xml:space="preserve">[25]</w:t>
      </w:r>
      <w:r>
        <w:t xml:space="preserve"> </w:t>
      </w:r>
      <w:r>
        <w:t xml:space="preserve">“</w:t>
      </w:r>
      <w:r>
        <w:t xml:space="preserve">Est_CEC</w:t>
      </w:r>
      <w:r>
        <w:t xml:space="preserve">”</w:t>
      </w:r>
      <w:r>
        <w:t xml:space="preserve"> </w:t>
      </w:r>
      <w:r>
        <w:t xml:space="preserve">“</w:t>
      </w:r>
      <w:r>
        <w:t xml:space="preserve">Base_Sat_pct</w:t>
      </w:r>
      <w:r>
        <w:t xml:space="preserve">”</w:t>
      </w:r>
      <w:r>
        <w:t xml:space="preserve"> </w:t>
      </w:r>
      <w:r>
        <w:t xml:space="preserve">“</w:t>
      </w:r>
      <w:r>
        <w:t xml:space="preserve">P_Sat_ratio</w:t>
      </w:r>
      <w:r>
        <w:t xml:space="preserve">”</w:t>
      </w:r>
      <w:r>
        <w:t xml:space="preserve"> </w:t>
      </w:r>
      <w:r>
        <w:t xml:space="preserve">“</w:t>
      </w:r>
      <w:r>
        <w:t xml:space="preserve">region</w:t>
      </w:r>
      <w:r>
        <w:t xml:space="preserve">”</w:t>
      </w:r>
    </w:p>
    <w:p>
      <w:pPr>
        <w:pStyle w:val="BodyText"/>
      </w:pPr>
      <w:r>
        <w:t xml:space="preserve">Most of the column names are found in the data dictionary, but the very last column (</w:t>
      </w:r>
      <w:r>
        <w:t xml:space="preserve">“</w:t>
      </w:r>
      <w:r>
        <w:t xml:space="preserve">region</w:t>
      </w:r>
      <w:r>
        <w:t xml:space="preserve">”</w:t>
      </w:r>
      <w:r>
        <w:t xml:space="preserve">) isn’t. How peculiar! Let’s look at what sort of values this particular column contains. The tab with the table of the</w:t>
      </w:r>
      <w:r>
        <w:t xml:space="preserve"> </w:t>
      </w:r>
      <w:r>
        <w:rPr>
          <w:rStyle w:val="VerbatimChar"/>
        </w:rPr>
        <w:t xml:space="preserve">soil.views</w:t>
      </w:r>
      <w:r>
        <w:t xml:space="preserve"> </w:t>
      </w:r>
      <w:r>
        <w:t xml:space="preserve">object should still be open in the upper left pane of the RStudio window. If not, you can open it again by clicking on</w:t>
      </w:r>
      <w:r>
        <w:t xml:space="preserve"> </w:t>
      </w:r>
      <w:r>
        <w:rPr>
          <w:rStyle w:val="VerbatimChar"/>
        </w:rPr>
        <w:t xml:space="preserve">soils.view</w:t>
      </w:r>
      <w:r>
        <w:t xml:space="preserve"> </w:t>
      </w:r>
      <w:r>
        <w:t xml:space="preserve">in the Environment pane, or by using the</w:t>
      </w:r>
      <w:r>
        <w:t xml:space="preserve"> </w:t>
      </w:r>
      <w:r>
        <w:rPr>
          <w:rStyle w:val="VerbatimChar"/>
        </w:rPr>
        <w:t xml:space="preserve">View()</w:t>
      </w:r>
      <w:r>
        <w:t xml:space="preserve"> </w:t>
      </w:r>
      <w:r>
        <w:t xml:space="preserve">command.</w:t>
      </w:r>
    </w:p>
    <w:p>
      <w:pPr>
        <w:pStyle w:val="BodyText"/>
      </w:pPr>
    </w:p>
    <w:p>
      <w:pPr>
        <w:pStyle w:val="BodyText"/>
      </w:pPr>
      <w:r>
        <w:t xml:space="preserve">If you scroll to the end of the table, we can see that</w:t>
      </w:r>
      <w:r>
        <w:t xml:space="preserve"> </w:t>
      </w:r>
      <w:r>
        <w:t xml:space="preserve">“</w:t>
      </w:r>
      <w:r>
        <w:t xml:space="preserve">region</w:t>
      </w:r>
      <w:r>
        <w:t xml:space="preserve">”</w:t>
      </w:r>
      <w:r>
        <w:t xml:space="preserve"> </w:t>
      </w:r>
      <w:r>
        <w:t xml:space="preserve">seems to refer to the city or area where the samples were collected. For example, the first 6 samples all come from Baltimore City.</w:t>
      </w:r>
    </w:p>
    <w:p>
      <w:pPr>
        <w:pStyle w:val="BodyText"/>
      </w:pPr>
    </w:p>
    <w:p>
      <w:pPr>
        <w:pStyle w:val="BodyText"/>
      </w:pPr>
      <w:r>
        <w:t xml:space="preserve">You may notice that some cells in the</w:t>
      </w:r>
      <w:r>
        <w:t xml:space="preserve"> </w:t>
      </w:r>
      <w:r>
        <w:rPr>
          <w:rStyle w:val="VerbatimChar"/>
        </w:rPr>
        <w:t xml:space="preserve">soil.values</w:t>
      </w:r>
      <w:r>
        <w:t xml:space="preserve"> </w:t>
      </w:r>
      <w:r>
        <w:t xml:space="preserve">table contain</w:t>
      </w:r>
      <w:r>
        <w:t xml:space="preserve"> </w:t>
      </w:r>
      <w:r>
        <w:rPr>
          <w:iCs/>
          <w:i/>
        </w:rPr>
        <w:t xml:space="preserve">NA</w:t>
      </w:r>
      <w:r>
        <w:t xml:space="preserve">. This just means that the soil testing data for that sample isn’t available yet. We’ll take care of those values in the next part.</w:t>
      </w:r>
    </w:p>
    <w:p>
      <w:pPr>
        <w:pStyle w:val="BodyText"/>
      </w:pPr>
      <w:r>
        <w:t xml:space="preserve">QUESTIONS:</w:t>
      </w:r>
    </w:p>
    <w:p>
      <w:pPr>
        <w:numPr>
          <w:ilvl w:val="0"/>
          <w:numId w:val="1010"/>
        </w:numPr>
      </w:pPr>
      <w:r>
        <w:t xml:space="preserve">How many observations are in the soil testing values dataset that you loaded? What do each of these observations refer to?</w:t>
      </w:r>
    </w:p>
    <w:p>
      <w:pPr>
        <w:numPr>
          <w:ilvl w:val="0"/>
          <w:numId w:val="1010"/>
        </w:numPr>
      </w:pPr>
      <w:r>
        <w:t xml:space="preserve">How many different regions are represented in the soil testing dataset? How many of them have soil testing data available?</w:t>
      </w:r>
    </w:p>
    <w:bookmarkEnd w:id="156"/>
    <w:bookmarkStart w:id="157" w:name="X17f2c87877c837d3d3b48010a3138810eabbf49"/>
    <w:p>
      <w:pPr>
        <w:pStyle w:val="Heading1"/>
      </w:pPr>
      <w:r>
        <w:rPr>
          <w:rStyle w:val="SectionNumber"/>
        </w:rPr>
        <w:t xml:space="preserve">5</w:t>
      </w:r>
      <w:r>
        <w:tab/>
      </w:r>
      <w:r>
        <w:t xml:space="preserve">Part 2. Summarizing the Data with Statistics</w:t>
      </w:r>
    </w:p>
    <w:p>
      <w:pPr>
        <w:pStyle w:val="FirstParagraph"/>
      </w:pPr>
      <w:r>
        <w:t xml:space="preserve">Now that we have the dataset loaded, let’s explore the data in more depth.</w:t>
      </w:r>
    </w:p>
    <w:p>
      <w:pPr>
        <w:pStyle w:val="BodyText"/>
      </w:pPr>
      <w:r>
        <w:t xml:space="preserve">First, we should remove those samples that don’t have soil testing data yet. We</w:t>
      </w:r>
      <w:r>
        <w:t xml:space="preserve"> </w:t>
      </w:r>
      <w:r>
        <w:rPr>
          <w:iCs/>
          <w:i/>
        </w:rPr>
        <w:t xml:space="preserve">could</w:t>
      </w:r>
      <w:r>
        <w:t xml:space="preserve"> </w:t>
      </w:r>
      <w:r>
        <w:t xml:space="preserve">keep them in the dataset, but removing them at this stage will make the analysis a little cleaner. In this case, as we know the reason the data are missing (and that reason will not skew our analysis), we can safely remove these samples. This will not be the case for every data analysis.</w:t>
      </w:r>
    </w:p>
    <w:p>
      <w:pPr>
        <w:pStyle w:val="BodyText"/>
      </w:pPr>
      <w:r>
        <w:t xml:space="preserve">We can remove the unanalyzed samples using the</w:t>
      </w:r>
      <w:r>
        <w:t xml:space="preserve"> </w:t>
      </w:r>
      <w:r>
        <w:rPr>
          <w:rStyle w:val="VerbatimChar"/>
        </w:rPr>
        <w:t xml:space="preserve">drop_na()</w:t>
      </w:r>
      <w:r>
        <w:t xml:space="preserve"> </w:t>
      </w:r>
      <w:r>
        <w:t xml:space="preserve">function from the</w:t>
      </w:r>
      <w:r>
        <w:t xml:space="preserve"> </w:t>
      </w:r>
      <w:r>
        <w:rPr>
          <w:rStyle w:val="VerbatimChar"/>
        </w:rPr>
        <w:t xml:space="preserve">tidyr</w:t>
      </w:r>
      <w:r>
        <w:t xml:space="preserve"> </w:t>
      </w:r>
      <w:r>
        <w:t xml:space="preserve">package. This function removes any rows from a table that contains</w:t>
      </w:r>
      <w:r>
        <w:t xml:space="preserve"> </w:t>
      </w:r>
      <w:r>
        <w:rPr>
          <w:iCs/>
          <w:i/>
        </w:rPr>
        <w:t xml:space="preserve">NA</w:t>
      </w:r>
      <w:r>
        <w:t xml:space="preserve"> </w:t>
      </w:r>
      <w:r>
        <w:t xml:space="preserve">for a particular column. This command follows the code structure:</w:t>
      </w:r>
    </w:p>
    <w:p>
      <w:pPr>
        <w:pStyle w:val="BodyText"/>
      </w:pPr>
      <w:r>
        <w:t xml:space="preserve">dataset_new_name &lt;- dataset %&gt;% drop_na(column_name)</w:t>
      </w:r>
    </w:p>
    <w:p>
      <w:pPr>
        <w:pStyle w:val="BodyText"/>
      </w:pPr>
      <w:r>
        <w:t xml:space="preserve">The `%&gt;% is called a pipe and it tells R that the commands after it should all be applied to the object in front of it. (In this case, we can filter out all samples missing a value for</w:t>
      </w:r>
      <w:r>
        <w:t xml:space="preserve"> </w:t>
      </w:r>
      <w:r>
        <w:t xml:space="preserve">“</w:t>
      </w:r>
      <w:r>
        <w:t xml:space="preserve">As_EPA3051</w:t>
      </w:r>
      <w:r>
        <w:t xml:space="preserve">”</w:t>
      </w:r>
      <w:r>
        <w:t xml:space="preserve"> </w:t>
      </w:r>
      <w:r>
        <w:t xml:space="preserve">as a proxy for samples without soil testing data.)</w:t>
      </w:r>
    </w:p>
    <w:p>
      <w:pPr>
        <w:pStyle w:val="BodyText"/>
      </w:pPr>
      <w:r>
        <w:t xml:space="preserve">Great! Now let’s calculate some basic statistics. For example, we might want to know what the mean (average) arsenic concentration is for all the soil samples. We can use a combination of two functions:</w:t>
      </w:r>
      <w:r>
        <w:t xml:space="preserve"> </w:t>
      </w:r>
      <w:r>
        <w:rPr>
          <w:rStyle w:val="VerbatimChar"/>
        </w:rPr>
        <w:t xml:space="preserve">pull()</w:t>
      </w:r>
      <w:r>
        <w:t xml:space="preserve"> </w:t>
      </w:r>
      <w:r>
        <w:t xml:space="preserve">and</w:t>
      </w:r>
      <w:r>
        <w:t xml:space="preserve"> </w:t>
      </w:r>
      <w:r>
        <w:rPr>
          <w:rStyle w:val="VerbatimChar"/>
        </w:rPr>
        <w:t xml:space="preserve">mean()</w:t>
      </w:r>
      <w:r>
        <w:t xml:space="preserve">.</w:t>
      </w:r>
      <w:r>
        <w:t xml:space="preserve"> </w:t>
      </w:r>
      <w:r>
        <w:rPr>
          <w:rStyle w:val="VerbatimChar"/>
        </w:rPr>
        <w:t xml:space="preserve">pull()</w:t>
      </w:r>
      <w:r>
        <w:t xml:space="preserve"> </w:t>
      </w:r>
      <w:r>
        <w:t xml:space="preserve">lets you extract a column from your table for statistical analysis, while</w:t>
      </w:r>
      <w:r>
        <w:t xml:space="preserve"> </w:t>
      </w:r>
      <w:r>
        <w:rPr>
          <w:rStyle w:val="VerbatimChar"/>
        </w:rPr>
        <w:t xml:space="preserve">mean()</w:t>
      </w:r>
      <w:r>
        <w:t xml:space="preserve"> </w:t>
      </w:r>
      <w:r>
        <w:t xml:space="preserve">calculates the average value for the extracted column.</w:t>
      </w:r>
    </w:p>
    <w:p>
      <w:pPr>
        <w:pStyle w:val="BodyText"/>
      </w:pPr>
      <w:r>
        <w:t xml:space="preserve">This command follows the code structure:</w:t>
      </w:r>
    </w:p>
    <w:p>
      <w:pPr>
        <w:pStyle w:val="BodyText"/>
      </w:pPr>
      <w:r>
        <w:t xml:space="preserve">OBJECT %&gt;% pull(column_name) %&gt;% mean()</w:t>
      </w:r>
    </w:p>
    <w:p>
      <w:pPr>
        <w:pStyle w:val="BodyText"/>
      </w:pPr>
      <w:r>
        <w:rPr>
          <w:rStyle w:val="VerbatimChar"/>
        </w:rPr>
        <w:t xml:space="preserve">pull()</w:t>
      </w:r>
      <w:r>
        <w:t xml:space="preserve"> </w:t>
      </w:r>
      <w:r>
        <w:t xml:space="preserve">is a command from the</w:t>
      </w:r>
      <w:r>
        <w:t xml:space="preserve"> </w:t>
      </w:r>
      <w:r>
        <w:rPr>
          <w:rStyle w:val="VerbatimChar"/>
        </w:rPr>
        <w:t xml:space="preserve">tidyverse</w:t>
      </w:r>
      <w:r>
        <w:t xml:space="preserve"> </w:t>
      </w:r>
      <w:r>
        <w:t xml:space="preserve">package, so we’ll need to load that library before our command.</w:t>
      </w:r>
    </w:p>
    <w:p>
      <w:pPr>
        <w:pStyle w:val="BodyText"/>
      </w:pPr>
      <w:r>
        <w:t xml:space="preserve">[1] 5.10875</w:t>
      </w:r>
    </w:p>
    <w:p>
      <w:pPr>
        <w:pStyle w:val="BodyText"/>
      </w:pPr>
      <w:r>
        <w:t xml:space="preserve">We can run similar commands to calculate the standard deviation (</w:t>
      </w:r>
      <w:r>
        <w:rPr>
          <w:rStyle w:val="VerbatimChar"/>
        </w:rPr>
        <w:t xml:space="preserve">sd</w:t>
      </w:r>
      <w:r>
        <w:t xml:space="preserve">), minimum (</w:t>
      </w:r>
      <w:r>
        <w:rPr>
          <w:rStyle w:val="VerbatimChar"/>
        </w:rPr>
        <w:t xml:space="preserve">min</w:t>
      </w:r>
      <w:r>
        <w:t xml:space="preserve">), and maximum (</w:t>
      </w:r>
      <w:r>
        <w:rPr>
          <w:rStyle w:val="VerbatimChar"/>
        </w:rPr>
        <w:t xml:space="preserve">max</w:t>
      </w:r>
      <w:r>
        <w:t xml:space="preserve">) for the soil arsenic values.</w:t>
      </w:r>
    </w:p>
    <w:p>
      <w:pPr>
        <w:pStyle w:val="BodyText"/>
      </w:pPr>
      <w:r>
        <w:t xml:space="preserve">[1] 5.606926</w:t>
      </w:r>
      <w:r>
        <w:t xml:space="preserve"> </w:t>
      </w:r>
      <w:r>
        <w:t xml:space="preserve">[1] 0</w:t>
      </w:r>
      <w:r>
        <w:t xml:space="preserve"> </w:t>
      </w:r>
      <w:r>
        <w:t xml:space="preserve">[1] 27.3</w:t>
      </w:r>
    </w:p>
    <w:p>
      <w:pPr>
        <w:pStyle w:val="BodyText"/>
      </w:pPr>
      <w:r>
        <w:t xml:space="preserve">The soil testing dataset contains samples from multiple geographic regions, so maybe it’s more meaningful to find out what the average arsenic values are for each region. We have to do a little bit of clever coding trickery for this using the</w:t>
      </w:r>
      <w:r>
        <w:t xml:space="preserve"> </w:t>
      </w:r>
      <w:r>
        <w:rPr>
          <w:rStyle w:val="VerbatimChar"/>
        </w:rPr>
        <w:t xml:space="preserve">group_by</w:t>
      </w:r>
      <w:r>
        <w:t xml:space="preserve"> </w:t>
      </w:r>
      <w:r>
        <w:t xml:space="preserve">and</w:t>
      </w:r>
      <w:r>
        <w:t xml:space="preserve"> </w:t>
      </w:r>
      <w:r>
        <w:rPr>
          <w:rStyle w:val="VerbatimChar"/>
        </w:rPr>
        <w:t xml:space="preserve">summarize</w:t>
      </w:r>
      <w:r>
        <w:t xml:space="preserve"> </w:t>
      </w:r>
      <w:r>
        <w:t xml:space="preserve">functions. First, we tell R to split our dataset up by a particular column (in this case, region) using the</w:t>
      </w:r>
      <w:r>
        <w:t xml:space="preserve"> </w:t>
      </w:r>
      <w:r>
        <w:rPr>
          <w:rStyle w:val="VerbatimChar"/>
        </w:rPr>
        <w:t xml:space="preserve">group_by</w:t>
      </w:r>
      <w:r>
        <w:t xml:space="preserve"> </w:t>
      </w:r>
      <w:r>
        <w:t xml:space="preserve">function, then we tell R to summarize the mean arsenic concentration for each group.</w:t>
      </w:r>
    </w:p>
    <w:p>
      <w:pPr>
        <w:pStyle w:val="BodyText"/>
      </w:pPr>
      <w:r>
        <w:t xml:space="preserve">When using the</w:t>
      </w:r>
      <w:r>
        <w:t xml:space="preserve"> </w:t>
      </w:r>
      <w:r>
        <w:rPr>
          <w:rStyle w:val="VerbatimChar"/>
        </w:rPr>
        <w:t xml:space="preserve">summarize</w:t>
      </w:r>
      <w:r>
        <w:t xml:space="preserve"> </w:t>
      </w:r>
      <w:r>
        <w:t xml:space="preserve">function, we tell R to make a new table (technically, a tibble in R) that contains two columns: the column used to group the data and the statistical measure we calculated for each group.</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summarize(mean(column_name))</w:t>
      </w:r>
    </w:p>
    <w:bookmarkEnd w:id="157"/>
    <w:bookmarkStart w:id="158" w:name="a-tibble-2-2"/>
    <w:p>
      <w:pPr>
        <w:pStyle w:val="Heading1"/>
      </w:pPr>
      <w:r>
        <w:rPr>
          <w:rStyle w:val="SectionNumber"/>
        </w:rPr>
        <w:t xml:space="preserve">6</w:t>
      </w:r>
      <w:r>
        <w:tab/>
      </w:r>
      <w:r>
        <w:t xml:space="preserve">A tibble: 2 × 2</w:t>
      </w:r>
    </w:p>
    <w:p>
      <w:pPr>
        <w:pStyle w:val="FirstParagraph"/>
      </w:pPr>
      <w:r>
        <w:t xml:space="preserve">region</w:t>
      </w:r>
      <w:r>
        <w:t xml:space="preserve"> </w:t>
      </w:r>
      <w:r>
        <w:rPr>
          <w:rStyle w:val="VerbatimChar"/>
        </w:rPr>
        <w:t xml:space="preserve">mean(As_EPA3051)</w:t>
      </w:r>
      <w:r>
        <w:t xml:space="preserve"> </w:t>
      </w:r>
      <w:r>
        <w:t xml:space="preserve"> </w:t>
      </w:r>
      <w:r>
        <w:t xml:space="preserve"> </w:t>
      </w:r>
      <w:r>
        <w:t xml:space="preserve">1 Baltimore City 5.56</w:t>
      </w:r>
      <w:r>
        <w:t xml:space="preserve"> </w:t>
      </w:r>
      <w:r>
        <w:t xml:space="preserve">2 Montgomery County 4.66</w:t>
      </w:r>
    </w:p>
    <w:p>
      <w:pPr>
        <w:pStyle w:val="BodyText"/>
      </w:pPr>
      <w:r>
        <w:t xml:space="preserve">Now we know that the mean arsenic concentration might be different for each region. If we compare the samples from Baltimore City and Montgomery County, the Baltimore City samples appear to have a higher mean arsenic concentration than the Montgomery County samples.</w:t>
      </w:r>
    </w:p>
    <w:p>
      <w:pPr>
        <w:pStyle w:val="BodyText"/>
      </w:pPr>
      <w:r>
        <w:t xml:space="preserve">QUESTIONS:</w:t>
      </w:r>
    </w:p>
    <w:p>
      <w:pPr>
        <w:numPr>
          <w:ilvl w:val="0"/>
          <w:numId w:val="1011"/>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1"/>
        </w:numPr>
      </w:pPr>
      <w:r>
        <w:t xml:space="preserve">What is the mean iron concentration for samples in this dataset? What about the standard deviation, minimum value, and maximum value?</w:t>
      </w:r>
    </w:p>
    <w:p>
      <w:pPr>
        <w:numPr>
          <w:ilvl w:val="0"/>
          <w:numId w:val="1011"/>
        </w:numPr>
      </w:pPr>
      <w:r>
        <w:t xml:space="preserve">Calculate the mean iron concentration by region. Which region has the highest mean iron concentration? What about the lowest?</w:t>
      </w:r>
    </w:p>
    <w:p>
      <w:pPr>
        <w:pStyle w:val="FirstParagraph"/>
      </w:pPr>
      <w:r>
        <w:t xml:space="preserve">Let’s say we’re interested in looking at mean concentrations that were determined using EPA Method 3051. Given that there are 8 of these measures in the</w:t>
      </w:r>
      <w:r>
        <w:t xml:space="preserve"> </w:t>
      </w:r>
      <w:r>
        <w:rPr>
          <w:rStyle w:val="VerbatimChar"/>
        </w:rPr>
        <w:t xml:space="preserve">soil.values</w:t>
      </w:r>
      <w:r>
        <w:t xml:space="preserve"> </w:t>
      </w:r>
      <w:r>
        <w:t xml:space="preserve">dataset, it would be time consuming to run our code from above for each individual measure.</w:t>
      </w:r>
    </w:p>
    <w:p>
      <w:pPr>
        <w:pStyle w:val="BodyText"/>
      </w:pPr>
      <w:r>
        <w:t xml:space="preserve">We can add two arguments to our</w:t>
      </w:r>
      <w:r>
        <w:t xml:space="preserve"> </w:t>
      </w:r>
      <w:r>
        <w:rPr>
          <w:rStyle w:val="VerbatimChar"/>
        </w:rPr>
        <w:t xml:space="preserve">summarize</w:t>
      </w:r>
      <w:r>
        <w:t xml:space="preserve"> </w:t>
      </w:r>
      <w:r>
        <w:t xml:space="preserve">statement to calculate statistical measures for multiple columns at once: the</w:t>
      </w:r>
      <w:r>
        <w:t xml:space="preserve"> </w:t>
      </w:r>
      <w:r>
        <w:rPr>
          <w:rStyle w:val="VerbatimChar"/>
        </w:rPr>
        <w:t xml:space="preserve">across</w:t>
      </w:r>
      <w:r>
        <w:t xml:space="preserve"> </w:t>
      </w:r>
      <w:r>
        <w:t xml:space="preserve">argument, which tells R to apply the</w:t>
      </w:r>
      <w:r>
        <w:t xml:space="preserve"> </w:t>
      </w:r>
      <w:r>
        <w:rPr>
          <w:rStyle w:val="VerbatimChar"/>
        </w:rPr>
        <w:t xml:space="preserve">summarize</w:t>
      </w:r>
      <w:r>
        <w:t xml:space="preserve"> </w:t>
      </w:r>
      <w:r>
        <w:t xml:space="preserve">command to multiple columns; and the</w:t>
      </w:r>
      <w:r>
        <w:t xml:space="preserve"> </w:t>
      </w:r>
      <w:r>
        <w:rPr>
          <w:rStyle w:val="VerbatimChar"/>
        </w:rPr>
        <w:t xml:space="preserve">ends_with</w:t>
      </w:r>
      <w:r>
        <w:t xml:space="preserve"> </w:t>
      </w:r>
      <w:r>
        <w:t xml:space="preserve">parameter, which tells R which columns should be included in the statistical calculation.</w:t>
      </w:r>
    </w:p>
    <w:p>
      <w:pPr>
        <w:pStyle w:val="BodyText"/>
      </w:pPr>
      <w:r>
        <w:t xml:space="preserve">We are using</w:t>
      </w:r>
      <w:r>
        <w:t xml:space="preserve"> </w:t>
      </w:r>
      <w:r>
        <w:rPr>
          <w:rStyle w:val="VerbatimChar"/>
        </w:rPr>
        <w:t xml:space="preserve">ends_with</w:t>
      </w:r>
      <w:r>
        <w:t xml:space="preserve"> </w:t>
      </w:r>
      <w:r>
        <w:t xml:space="preserve">because for this question, all the columns that we’re interested in end with the string</w:t>
      </w:r>
      <w:r>
        <w:t xml:space="preserve"> </w:t>
      </w:r>
      <w:r>
        <w:t xml:space="preserve">‘</w:t>
      </w:r>
      <w:r>
        <w:t xml:space="preserve">EPA3051</w:t>
      </w:r>
      <w:r>
        <w:t xml:space="preserve">’</w:t>
      </w:r>
      <w:r>
        <w:t xml:space="preserve">.</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summarize(across(ends_with(common_column_name_ending), mean))</w:t>
      </w:r>
    </w:p>
    <w:bookmarkEnd w:id="158"/>
    <w:bookmarkStart w:id="159" w:name="a-tibble-2-8"/>
    <w:p>
      <w:pPr>
        <w:pStyle w:val="Heading1"/>
      </w:pPr>
      <w:r>
        <w:rPr>
          <w:rStyle w:val="SectionNumber"/>
        </w:rPr>
        <w:t xml:space="preserve">7</w:t>
      </w:r>
      <w:r>
        <w:tab/>
      </w:r>
      <w:r>
        <w:t xml:space="preserve">A tibble: 2 × 8</w:t>
      </w:r>
    </w:p>
    <w:p>
      <w:pPr>
        <w:pStyle w:val="FirstParagraph"/>
      </w:pPr>
      <w:r>
        <w:t xml:space="preserve">region As_EPA3051 Cd_EPA3051 Cr_EPA3051 Cu_EPA3051 Ni_EPA3051 Pb_EPA3051</w:t>
      </w:r>
      <w:r>
        <w:t xml:space="preserve"> </w:t>
      </w:r>
      <w:r>
        <w:t xml:space="preserve"> </w:t>
      </w:r>
      <w:r>
        <w:t xml:space="preserve"> </w:t>
      </w:r>
      <w:r>
        <w:t xml:space="preserve"> </w:t>
      </w:r>
      <w:r>
        <w:t xml:space="preserve"> </w:t>
      </w:r>
      <w:r>
        <w:t xml:space="preserve"> </w:t>
      </w:r>
      <w:r>
        <w:t xml:space="preserve"> </w:t>
      </w:r>
      <w:r>
        <w:t xml:space="preserve"> </w:t>
      </w:r>
      <w:r>
        <w:t xml:space="preserve">1 Baltimore C… 5.56 0.359 34.5 35.0 17.4 67.2</w:t>
      </w:r>
      <w:r>
        <w:t xml:space="preserve"> </w:t>
      </w:r>
      <w:r>
        <w:t xml:space="preserve">2 Montgomery … 4.66 0.402 29.9 24.3 23.4 38.7</w:t>
      </w:r>
      <w:r>
        <w:t xml:space="preserve"> </w:t>
      </w:r>
      <w:r>
        <w:t xml:space="preserve"># ℹ 1 more variable: Zn_EPA3051</w:t>
      </w:r>
      <w:r>
        <w:t xml:space="preserve"> </w:t>
      </w:r>
    </w:p>
    <w:p>
      <w:pPr>
        <w:pStyle w:val="BodyText"/>
      </w:pPr>
      <w:r>
        <w:t xml:space="preserve">This is a</w:t>
      </w:r>
      <w:r>
        <w:t xml:space="preserve"> </w:t>
      </w:r>
      <w:r>
        <w:rPr>
          <w:iCs/>
          <w:i/>
        </w:rPr>
        <w:t xml:space="preserve">much</w:t>
      </w:r>
      <w:r>
        <w:t xml:space="preserve"> </w:t>
      </w:r>
      <w:r>
        <w:t xml:space="preserve">more efficient way to calculate statistics.</w:t>
      </w:r>
    </w:p>
    <w:p>
      <w:pPr>
        <w:pStyle w:val="BodyText"/>
      </w:pPr>
      <w:r>
        <w:t xml:space="preserve">QUESTIONS:</w:t>
      </w:r>
    </w:p>
    <w:p>
      <w:pPr>
        <w:numPr>
          <w:ilvl w:val="0"/>
          <w:numId w:val="1012"/>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2"/>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59"/>
    <w:bookmarkStart w:id="168" w:name="part-3.-visualizing-the-data"/>
    <w:p>
      <w:pPr>
        <w:pStyle w:val="Heading1"/>
      </w:pPr>
      <w:r>
        <w:rPr>
          <w:rStyle w:val="SectionNumber"/>
        </w:rPr>
        <w:t xml:space="preserve">8</w:t>
      </w:r>
      <w:r>
        <w:tab/>
      </w:r>
      <w:r>
        <w:t xml:space="preserve">Part 3. Visualizing the Data</w:t>
      </w:r>
    </w:p>
    <w:p>
      <w:pPr>
        <w:pStyle w:val="FirstParagraph"/>
      </w:pPr>
      <w:r>
        <w:t xml:space="preserve">Often, it can be easier to immediately interpret data displayed as a plot than as a list of values. For example, we can more easily understand how the arsenic concentration of the soil samples are distributed if we create histograms compared to looking at point values like mean, standard deviation, minimum, and maximum.</w:t>
      </w:r>
    </w:p>
    <w:p>
      <w:pPr>
        <w:pStyle w:val="BodyText"/>
      </w:pPr>
      <w:r>
        <w:t xml:space="preserve">One way to make histograms in R is with the</w:t>
      </w:r>
      <w:r>
        <w:t xml:space="preserve"> </w:t>
      </w:r>
      <w:r>
        <w:rPr>
          <w:rStyle w:val="VerbatimChar"/>
        </w:rPr>
        <w:t xml:space="preserve">hist()</w:t>
      </w:r>
      <w:r>
        <w:t xml:space="preserve"> </w:t>
      </w:r>
      <w:r>
        <w:t xml:space="preserve">function. This function only requires that we tell R which column of the dataset that we want to plot. (However, we also have the option to tell R a histogram name and a x-axis label.)</w:t>
      </w:r>
    </w:p>
    <w:p>
      <w:pPr>
        <w:pStyle w:val="BodyText"/>
      </w:pPr>
      <w:r>
        <w:t xml:space="preserve">We can again use the</w:t>
      </w:r>
      <w:r>
        <w:t xml:space="preserve"> </w:t>
      </w:r>
      <w:r>
        <w:rPr>
          <w:rStyle w:val="VerbatimChar"/>
        </w:rPr>
        <w:t xml:space="preserve">pull()</w:t>
      </w:r>
      <w:r>
        <w:t xml:space="preserve"> </w:t>
      </w:r>
      <w:r>
        <w:t xml:space="preserve">command and pipes (</w:t>
      </w:r>
      <w:r>
        <w:rPr>
          <w:rStyle w:val="VerbatimChar"/>
        </w:rPr>
        <w:t xml:space="preserve">%&gt;%</w:t>
      </w:r>
      <w:r>
        <w:t xml:space="preserve">) to choose the column we want from the</w:t>
      </w:r>
      <w:r>
        <w:t xml:space="preserve"> </w:t>
      </w:r>
      <w:r>
        <w:rPr>
          <w:rStyle w:val="VerbatimChar"/>
        </w:rPr>
        <w:t xml:space="preserve">soil.values.clean</w:t>
      </w:r>
      <w:r>
        <w:t xml:space="preserve"> </w:t>
      </w:r>
      <w:r>
        <w:t xml:space="preserve">dataset and make a histogram of them.</w:t>
      </w:r>
    </w:p>
    <w:p>
      <w:pPr>
        <w:pStyle w:val="BodyText"/>
      </w:pPr>
      <w:r>
        <w:t xml:space="preserve">This combination of commands follows the code structure:</w:t>
      </w:r>
    </w:p>
    <w:p>
      <w:pPr>
        <w:pStyle w:val="BodyText"/>
      </w:pPr>
      <w:r>
        <w:t xml:space="preserve">dataset %&gt;%</w:t>
      </w:r>
      <w:r>
        <w:t xml:space="preserve"> </w:t>
      </w:r>
      <w:r>
        <w:t xml:space="preserve">pull(column_name) %&gt;%</w:t>
      </w:r>
      <w:r>
        <w:t xml:space="preserve"> </w:t>
      </w:r>
      <w:r>
        <w:t xml:space="preserve">hist(main = chart_title, xlab = x_axis_title)</w:t>
      </w:r>
    </w:p>
    <w:p>
      <w:pPr>
        <w:pStyle w:val="BodyText"/>
      </w:pPr>
      <w:r>
        <w:drawing>
          <wp:inline>
            <wp:extent cx="4620126" cy="3696101"/>
            <wp:effectExtent b="0" l="0" r="0" t="0"/>
            <wp:docPr descr="" title="" id="161" name="Picture"/>
            <a:graphic>
              <a:graphicData uri="http://schemas.openxmlformats.org/drawingml/2006/picture">
                <pic:pic>
                  <pic:nvPicPr>
                    <pic:cNvPr descr="resources/images/resources/images/resources/images/09-student_guide_files/figure-docx/unnamed-chunk-149-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that almost all the soil samples had very low concentrations of arsenic (which is good news for the soil health!). In fact, many of them had arsenic concentrations close to 0, and only one sampling location appears to have high levels of arsenic.</w:t>
      </w:r>
    </w:p>
    <w:p>
      <w:pPr>
        <w:pStyle w:val="BodyText"/>
      </w:pPr>
      <w:r>
        <w:t xml:space="preserve">We might also want to graphically compare arsenic concentrations among the geographic regions in our dataset. We can do this by creating boxplots. Boxplots are particularly useful when comparing the mean, variation, and distributions among multiple groups.</w:t>
      </w:r>
    </w:p>
    <w:p>
      <w:pPr>
        <w:pStyle w:val="BodyText"/>
      </w:pPr>
      <w:r>
        <w:t xml:space="preserve">In R, one way to create a boxplot is using the</w:t>
      </w:r>
      <w:r>
        <w:t xml:space="preserve"> </w:t>
      </w:r>
      <w:r>
        <w:rPr>
          <w:rStyle w:val="VerbatimChar"/>
        </w:rPr>
        <w:t xml:space="preserve">boxplot()</w:t>
      </w:r>
      <w:r>
        <w:t xml:space="preserve"> </w:t>
      </w:r>
      <w:r>
        <w:t xml:space="preserve">function. We don’t need to use pipes for this command, but instead will specify what columns we want to use from the dataset inside the</w:t>
      </w:r>
      <w:r>
        <w:t xml:space="preserve"> </w:t>
      </w:r>
      <w:r>
        <w:rPr>
          <w:rStyle w:val="VerbatimChar"/>
        </w:rPr>
        <w:t xml:space="preserve">boxplot()</w:t>
      </w:r>
      <w:r>
        <w:t xml:space="preserve"> </w:t>
      </w:r>
      <w:r>
        <w:t xml:space="preserve">function itself.</w:t>
      </w:r>
    </w:p>
    <w:p>
      <w:pPr>
        <w:pStyle w:val="BodyText"/>
      </w:pPr>
      <w:r>
        <w:t xml:space="preserve">This command follows the code structure:</w:t>
      </w:r>
    </w:p>
    <w:p>
      <w:pPr>
        <w:pStyle w:val="BodyText"/>
      </w:pPr>
      <w:r>
        <w:t xml:space="preserve">boxplot(column_we’re_plotting ~ grouping_variable,</w:t>
      </w:r>
      <w:r>
        <w:t xml:space="preserve"> </w:t>
      </w:r>
      <w:r>
        <w:t xml:space="preserve">data = dataset,</w:t>
      </w:r>
      <w:r>
        <w:t xml:space="preserve"> </w:t>
      </w:r>
      <w:r>
        <w:t xml:space="preserve">main =</w:t>
      </w:r>
      <w:r>
        <w:t xml:space="preserve"> </w:t>
      </w:r>
      <w:r>
        <w:t xml:space="preserve">“</w:t>
      </w:r>
      <w:r>
        <w:t xml:space="preserve">Title of Graph</w:t>
      </w:r>
      <w:r>
        <w:t xml:space="preserve">”</w:t>
      </w:r>
      <w:r>
        <w:t xml:space="preserve">,</w:t>
      </w:r>
      <w:r>
        <w:t xml:space="preserve"> </w:t>
      </w:r>
      <w:r>
        <w:t xml:space="preserve">xlab =</w:t>
      </w:r>
      <w:r>
        <w:t xml:space="preserve"> </w:t>
      </w:r>
      <w:r>
        <w:t xml:space="preserve">“</w:t>
      </w:r>
      <w:r>
        <w:t xml:space="preserve">x_axis_title</w:t>
      </w:r>
      <w:r>
        <w:t xml:space="preserve">”</w:t>
      </w:r>
      <w:r>
        <w:t xml:space="preserve">,</w:t>
      </w:r>
      <w:r>
        <w:t xml:space="preserve"> </w:t>
      </w:r>
      <w:r>
        <w:t xml:space="preserve">ylab =</w:t>
      </w:r>
      <w:r>
        <w:t xml:space="preserve"> </w:t>
      </w:r>
      <w:r>
        <w:t xml:space="preserve">“</w:t>
      </w:r>
      <w:r>
        <w:t xml:space="preserve">y_axis_title</w:t>
      </w:r>
      <w:r>
        <w:t xml:space="preserve">”</w:t>
      </w:r>
      <w:r>
        <w:t xml:space="preserve">)</w:t>
      </w:r>
    </w:p>
    <w:p>
      <w:pPr>
        <w:pStyle w:val="BodyText"/>
      </w:pPr>
      <w:r>
        <w:drawing>
          <wp:inline>
            <wp:extent cx="4620126" cy="3696101"/>
            <wp:effectExtent b="0" l="0" r="0" t="0"/>
            <wp:docPr descr="" title="" id="164" name="Picture"/>
            <a:graphic>
              <a:graphicData uri="http://schemas.openxmlformats.org/drawingml/2006/picture">
                <pic:pic>
                  <pic:nvPicPr>
                    <pic:cNvPr descr="resources/images/resources/images/resources/images/09-student_guide_files/figure-docx/unnamed-chunk-150-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using a boxplot, we can quickly see that, while one sampling site within Baltimore City has a very high concentration of arsenic in the soil, in general there isn’t a difference in arsenic content between Baltimore City and Montgomery County.</w:t>
      </w:r>
    </w:p>
    <w:p>
      <w:pPr>
        <w:pStyle w:val="BodyText"/>
      </w:pPr>
      <w:r>
        <w:t xml:space="preserve">QUESTIONS:</w:t>
      </w:r>
    </w:p>
    <w:p>
      <w:pPr>
        <w:numPr>
          <w:ilvl w:val="0"/>
          <w:numId w:val="1013"/>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13"/>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13"/>
        </w:numPr>
      </w:pPr>
      <w:r>
        <w:t xml:space="preserve">Look at the maps for</w:t>
      </w:r>
      <w:r>
        <w:t xml:space="preserve"> </w:t>
      </w:r>
      <w:hyperlink r:id="rId166">
        <w:r>
          <w:rPr>
            <w:rStyle w:val="Hyperlink"/>
          </w:rPr>
          <w:t xml:space="preserve">iron</w:t>
        </w:r>
      </w:hyperlink>
      <w:r>
        <w:t xml:space="preserve"> </w:t>
      </w:r>
      <w:r>
        <w:t xml:space="preserve">and</w:t>
      </w:r>
      <w:r>
        <w:t xml:space="preserve"> </w:t>
      </w:r>
      <w:hyperlink r:id="rId167">
        <w:r>
          <w:rPr>
            <w:rStyle w:val="Hyperlink"/>
          </w:rPr>
          <w:t xml:space="preserve">lead</w:t>
        </w:r>
      </w:hyperlink>
      <w:r>
        <w:t xml:space="preserve"> </w:t>
      </w:r>
      <w:r>
        <w:t xml:space="preserve">on the BioDIGS website. Do the boxplots you created make sense, given what you see on these maps? Why or why not?</w:t>
      </w:r>
    </w:p>
    <w:bookmarkEnd w:id="168"/>
    <w:bookmarkStart w:id="172" w:name="activity-questions"/>
    <w:p>
      <w:pPr>
        <w:pStyle w:val="Heading1"/>
      </w:pPr>
      <w:r>
        <w:rPr>
          <w:rStyle w:val="SectionNumber"/>
        </w:rPr>
        <w:t xml:space="preserve">9</w:t>
      </w:r>
      <w:r>
        <w:tab/>
      </w:r>
      <w:r>
        <w:t xml:space="preserve">Activity Questions</w:t>
      </w:r>
    </w:p>
    <w:bookmarkStart w:id="169" w:name="part-1.-examining-the-data-1"/>
    <w:p>
      <w:pPr>
        <w:pStyle w:val="Heading2"/>
      </w:pPr>
      <w:r>
        <w:rPr>
          <w:rStyle w:val="SectionNumber"/>
        </w:rPr>
        <w:t xml:space="preserve">9.1</w:t>
      </w:r>
      <w:r>
        <w:tab/>
      </w:r>
      <w:r>
        <w:t xml:space="preserve">Part 1. Examining the Data</w:t>
      </w:r>
    </w:p>
    <w:p>
      <w:pPr>
        <w:numPr>
          <w:ilvl w:val="0"/>
          <w:numId w:val="1014"/>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4"/>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numPr>
          <w:ilvl w:val="0"/>
          <w:numId w:val="1014"/>
        </w:numPr>
      </w:pPr>
      <w:r>
        <w:t xml:space="preserve">How many observations are in the soil testing values dataset that you loaded? What do each of these observations refer to?</w:t>
      </w:r>
    </w:p>
    <w:p>
      <w:pPr>
        <w:numPr>
          <w:ilvl w:val="0"/>
          <w:numId w:val="1014"/>
        </w:numPr>
      </w:pPr>
      <w:r>
        <w:t xml:space="preserve">How many different regions are represented in the soil testing dataset? How many of them have soil testing data available?</w:t>
      </w:r>
    </w:p>
    <w:bookmarkEnd w:id="169"/>
    <w:bookmarkStart w:id="170" w:name="X8eb3f271a9c19f68a15333175c7f143558cb785"/>
    <w:p>
      <w:pPr>
        <w:pStyle w:val="Heading2"/>
      </w:pPr>
      <w:r>
        <w:rPr>
          <w:rStyle w:val="SectionNumber"/>
        </w:rPr>
        <w:t xml:space="preserve">9.2</w:t>
      </w:r>
      <w:r>
        <w:tab/>
      </w:r>
      <w:r>
        <w:t xml:space="preserve">Part 2. Summarizing the Data with Statistics</w:t>
      </w:r>
    </w:p>
    <w:p>
      <w:pPr>
        <w:numPr>
          <w:ilvl w:val="0"/>
          <w:numId w:val="1015"/>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5"/>
        </w:numPr>
      </w:pPr>
      <w:r>
        <w:t xml:space="preserve">What is the mean iron concentration for samples in this dataset? What about the standard deviation, minimum value, and maximum value?</w:t>
      </w:r>
    </w:p>
    <w:p>
      <w:pPr>
        <w:numPr>
          <w:ilvl w:val="0"/>
          <w:numId w:val="1015"/>
        </w:numPr>
      </w:pPr>
      <w:r>
        <w:t xml:space="preserve">Calculate the mean iron concentration by region. Which region has the highest mean iron concentration? What about the lowest?</w:t>
      </w:r>
    </w:p>
    <w:p>
      <w:pPr>
        <w:numPr>
          <w:ilvl w:val="0"/>
          <w:numId w:val="1015"/>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5"/>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70"/>
    <w:bookmarkStart w:id="171" w:name="part-3.-visualizing-the-data-1"/>
    <w:p>
      <w:pPr>
        <w:pStyle w:val="Heading2"/>
      </w:pPr>
      <w:r>
        <w:rPr>
          <w:rStyle w:val="SectionNumber"/>
        </w:rPr>
        <w:t xml:space="preserve">9.3</w:t>
      </w:r>
      <w:r>
        <w:tab/>
      </w:r>
      <w:r>
        <w:t xml:space="preserve">Part 3. Visualizing the Data</w:t>
      </w:r>
    </w:p>
    <w:p>
      <w:pPr>
        <w:numPr>
          <w:ilvl w:val="0"/>
          <w:numId w:val="1016"/>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16"/>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16"/>
        </w:numPr>
      </w:pPr>
      <w:r>
        <w:t xml:space="preserve">Look at the maps for</w:t>
      </w:r>
      <w:r>
        <w:t xml:space="preserve"> </w:t>
      </w:r>
      <w:hyperlink r:id="rId166">
        <w:r>
          <w:rPr>
            <w:rStyle w:val="Hyperlink"/>
          </w:rPr>
          <w:t xml:space="preserve">iron</w:t>
        </w:r>
      </w:hyperlink>
      <w:r>
        <w:t xml:space="preserve"> </w:t>
      </w:r>
      <w:r>
        <w:t xml:space="preserve">and</w:t>
      </w:r>
      <w:r>
        <w:t xml:space="preserve"> </w:t>
      </w:r>
      <w:hyperlink r:id="rId167">
        <w:r>
          <w:rPr>
            <w:rStyle w:val="Hyperlink"/>
          </w:rPr>
          <w:t xml:space="preserve">lead</w:t>
        </w:r>
      </w:hyperlink>
      <w:r>
        <w:t xml:space="preserve"> </w:t>
      </w:r>
      <w:r>
        <w:t xml:space="preserve">on the BioDIGS website. Do the boxplots you created make sense, given what you see on these maps? Why or why not?</w:t>
      </w:r>
    </w:p>
    <w:bookmarkEnd w:id="171"/>
    <w:bookmarkEnd w:id="1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34" Target="media/rId134.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74" Target="media/rId74.png" /><Relationship Type="http://schemas.openxmlformats.org/officeDocument/2006/relationships/image" Id="rId98" Target="media/rId98.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hyperlink" Id="rId32" Target="biodigs.org" TargetMode="External" /><Relationship Type="http://schemas.openxmlformats.org/officeDocument/2006/relationships/hyperlink" Id="rId39" Target="https://accounts.google.com/SignUp" TargetMode="External" /><Relationship Type="http://schemas.openxmlformats.org/officeDocument/2006/relationships/hyperlink" Id="rId73" Target="https://anvil.terra.bio/" TargetMode="External" /><Relationship Type="http://schemas.openxmlformats.org/officeDocument/2006/relationships/hyperlink" Id="rId149" Target="https://anvil.terra.bio/#clusters" TargetMode="External" /><Relationship Type="http://schemas.openxmlformats.org/officeDocument/2006/relationships/hyperlink" Id="rId42"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102"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66" Target="https://biodigs.org/#iron_map" TargetMode="External" /><Relationship Type="http://schemas.openxmlformats.org/officeDocument/2006/relationships/hyperlink" Id="rId167" Target="https://biodigs.org/#lead_map" TargetMode="External" /><Relationship Type="http://schemas.openxmlformats.org/officeDocument/2006/relationships/hyperlink" Id="rId70" Target="https://docs.google.com/presentation/d/1eypYLLqD11-NwHLs4adGpcuSB07dYEJfAaALSMvgzqw" TargetMode="External" /><Relationship Type="http://schemas.openxmlformats.org/officeDocument/2006/relationships/hyperlink" Id="rId35" Target="https://grcf.jhmi.edu/" TargetMode="External" /><Relationship Type="http://schemas.openxmlformats.org/officeDocument/2006/relationships/hyperlink" Id="rId40" Target="https://support.terra.bio/hc/en-us/articles/360029186611" TargetMode="External" /><Relationship Type="http://schemas.openxmlformats.org/officeDocument/2006/relationships/hyperlink" Id="rId155"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2" Target="biodigs.org" TargetMode="External" /><Relationship Type="http://schemas.openxmlformats.org/officeDocument/2006/relationships/hyperlink" Id="rId39" Target="https://accounts.google.com/SignUp" TargetMode="External" /><Relationship Type="http://schemas.openxmlformats.org/officeDocument/2006/relationships/hyperlink" Id="rId73" Target="https://anvil.terra.bio/" TargetMode="External" /><Relationship Type="http://schemas.openxmlformats.org/officeDocument/2006/relationships/hyperlink" Id="rId149" Target="https://anvil.terra.bio/#clusters" TargetMode="External" /><Relationship Type="http://schemas.openxmlformats.org/officeDocument/2006/relationships/hyperlink" Id="rId42"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102"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66" Target="https://biodigs.org/#iron_map" TargetMode="External" /><Relationship Type="http://schemas.openxmlformats.org/officeDocument/2006/relationships/hyperlink" Id="rId167" Target="https://biodigs.org/#lead_map" TargetMode="External" /><Relationship Type="http://schemas.openxmlformats.org/officeDocument/2006/relationships/hyperlink" Id="rId70" Target="https://docs.google.com/presentation/d/1eypYLLqD11-NwHLs4adGpcuSB07dYEJfAaALSMvgzqw" TargetMode="External" /><Relationship Type="http://schemas.openxmlformats.org/officeDocument/2006/relationships/hyperlink" Id="rId35" Target="https://grcf.jhmi.edu/" TargetMode="External" /><Relationship Type="http://schemas.openxmlformats.org/officeDocument/2006/relationships/hyperlink" Id="rId40" Target="https://support.terra.bio/hc/en-us/articles/360029186611" TargetMode="External" /><Relationship Type="http://schemas.openxmlformats.org/officeDocument/2006/relationships/hyperlink" Id="rId155"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Exploring Soil Data</dc:title>
  <dc:creator/>
  <dc:description>This activity guides students through exploration of the BioDIGS soil data using the tidyverse in R.</dc:description>
  <cp:keywords/>
  <dcterms:created xsi:type="dcterms:W3CDTF">2025-02-11T17:45:07Z</dcterms:created>
  <dcterms:modified xsi:type="dcterms:W3CDTF">2025-02-11T17:45:07Z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February 11,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