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w:t>
      </w:r>
      <w:r>
        <w:t xml:space="preserve"> </w:t>
      </w:r>
      <w:r>
        <w:rPr>
          <w:rStyle w:val="VerbatimChar"/>
        </w:rPr>
        <w:t xml:space="preserve">task</w:t>
      </w:r>
      <w:r>
        <w:t xml:space="preserve">.</w:t>
      </w:r>
    </w:p>
    <w:p>
      <w:pPr>
        <w:pStyle w:val="BodyText"/>
      </w:pPr>
      <w:r>
        <w:t xml:space="preserve">A workflow, and the tasks it calls, generally has an</w:t>
      </w:r>
      <w:r>
        <w:t xml:space="preserve"> </w:t>
      </w:r>
      <w:r>
        <w:rPr>
          <w:rStyle w:val="VerbatimChar"/>
        </w:rPr>
        <w:t xml:space="preserve">input</w:t>
      </w:r>
      <w:r>
        <w:t xml:space="preserve"> </w:t>
      </w:r>
      <w:r>
        <w:t xml:space="preserve">section.</w:t>
      </w:r>
    </w:p>
    <w:p>
      <w:pPr>
        <w:pStyle w:val="BodyText"/>
      </w:pPr>
      <w:r>
        <w:t xml:space="preserve">The input</w:t>
      </w:r>
      <w:r>
        <w:t xml:space="preserve"> </w:t>
      </w:r>
      <w:r>
        <w:rPr>
          <w:rStyle w:val="VerbatimChar"/>
        </w:rPr>
        <w:t xml:space="preserve">fq</w:t>
      </w:r>
      <w:r>
        <w:t xml:space="preserve"> </w:t>
      </w:r>
      <w:r>
        <w:t xml:space="preserve">is defined to be a</w:t>
      </w:r>
      <w:r>
        <w:t xml:space="preserve"> </w:t>
      </w:r>
      <w:r>
        <w:rPr>
          <w:bCs/>
          <w:b/>
        </w:rPr>
        <w:t xml:space="preserve">File</w:t>
      </w:r>
      <w:r>
        <w:t xml:space="preserve"> </w:t>
      </w:r>
      <w:r>
        <w:t xml:space="preserve">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BodyText"/>
      </w:pPr>
      <w:r>
        <w:t xml:space="preserve">Tasks and workflows also typically have an</w:t>
      </w:r>
      <w:r>
        <w:t xml:space="preserve"> </w:t>
      </w:r>
      <w:r>
        <w:rPr>
          <w:rStyle w:val="VerbatimChar"/>
        </w:rPr>
        <w:t xml:space="preserve">output</w:t>
      </w:r>
      <w:r>
        <w:t xml:space="preserve"> </w:t>
      </w:r>
      <w:r>
        <w:t xml:space="preserve">section. The task-level outputs can be accessed by the workflow or any subsequent tasks. The workflow-level outputs represent the final output of the overall workflow.</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w:t>
      </w:r>
    </w:p>
    <w:p>
      <w:pPr>
        <w:numPr>
          <w:ilvl w:val="0"/>
          <w:numId w:val="1002"/>
        </w:numPr>
        <w:pStyle w:val="Compact"/>
      </w:pPr>
      <w:r>
        <w:rPr>
          <w:bCs/>
          <w:b/>
        </w:rPr>
        <w:t xml:space="preserve">.wdl</w:t>
      </w:r>
      <w:r>
        <w:t xml:space="preserve"> </w:t>
      </w:r>
      <w:r>
        <w:t xml:space="preserve">file - it contains the actual workflow</w:t>
      </w:r>
      <w:r>
        <w:br/>
      </w:r>
    </w:p>
    <w:p>
      <w:pPr>
        <w:numPr>
          <w:ilvl w:val="0"/>
          <w:numId w:val="1002"/>
        </w:numPr>
        <w:pStyle w:val="Compact"/>
      </w:pPr>
      <w:r>
        <w:rPr>
          <w:bCs/>
          <w:b/>
        </w:rPr>
        <w:t xml:space="preserve">.json</w:t>
      </w:r>
      <w:r>
        <w:t xml:space="preserve"> </w:t>
      </w:r>
      <w:r>
        <w:t xml:space="preserve">file - it provides the inputs for the workflow.</w:t>
      </w:r>
    </w:p>
    <w:p>
      <w:pPr>
        <w:pStyle w:val="FirstParagraph"/>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One can use this methodolgy to name key:value pairs</w:t>
      </w:r>
      <w:r>
        <w:t xml:space="preserve"> </w:t>
      </w:r>
      <w:r>
        <w:rPr>
          <w:rStyle w:val="VerbatimChar"/>
        </w:rPr>
        <w:t xml:space="preserve">"name_of_workflow.name_of_variable":"path_to_variable"</w:t>
      </w:r>
      <w:r>
        <w:t xml:space="preserve">.</w:t>
      </w:r>
    </w:p>
    <w:p>
      <w:pPr>
        <w:pStyle w:val="BodyText"/>
      </w:pPr>
      <w:r>
        <w:t xml:space="preserve">Files aren’t the only type of variable you can refer to when using JSONs. Here’s an example JSON for every common WDL variable type.</w:t>
      </w:r>
    </w:p>
    <w:p>
      <w:pPr>
        <w:pStyle w:val="BodyText"/>
      </w:pPr>
    </w:p>
    <w:p>
      <w:pPr>
        <w:pStyle w:val="BodyText"/>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3"/>
        </w:numPr>
        <w:pStyle w:val="Compact"/>
      </w:pPr>
      <w:r>
        <w:rPr>
          <w:rStyle w:val="VerbatimChar"/>
        </w:rPr>
        <w:t xml:space="preserve">BwaMem</w:t>
      </w:r>
      <w:r>
        <w:t xml:space="preserve"> </w:t>
      </w:r>
      <w:r>
        <w:t xml:space="preserve">aligns the samples to the reference genome (hg19).</w:t>
      </w:r>
    </w:p>
    <w:p>
      <w:pPr>
        <w:numPr>
          <w:ilvl w:val="0"/>
          <w:numId w:val="1003"/>
        </w:numPr>
        <w:pStyle w:val="Compact"/>
      </w:pPr>
      <w:r>
        <w:rPr>
          <w:rStyle w:val="VerbatimChar"/>
        </w:rPr>
        <w:t xml:space="preserve">MarkDuplicates</w:t>
      </w:r>
      <w:r>
        <w:t xml:space="preserve"> </w:t>
      </w:r>
      <w:r>
        <w:t xml:space="preserve">marks PCR duplicates.</w:t>
      </w:r>
    </w:p>
    <w:p>
      <w:pPr>
        <w:numPr>
          <w:ilvl w:val="0"/>
          <w:numId w:val="1003"/>
        </w:numPr>
        <w:pStyle w:val="Compact"/>
      </w:pPr>
      <w:r>
        <w:rPr>
          <w:rStyle w:val="VerbatimChar"/>
        </w:rPr>
        <w:t xml:space="preserve">ApplyBaseRecalibrator</w:t>
      </w:r>
      <w:r>
        <w:t xml:space="preserve"> </w:t>
      </w:r>
      <w:r>
        <w:t xml:space="preserve">perform base quality recalibration.</w:t>
      </w:r>
    </w:p>
    <w:p>
      <w:pPr>
        <w:numPr>
          <w:ilvl w:val="0"/>
          <w:numId w:val="1003"/>
        </w:numPr>
        <w:pStyle w:val="Compact"/>
      </w:pPr>
      <w:r>
        <w:rPr>
          <w:rStyle w:val="VerbatimChar"/>
        </w:rPr>
        <w:t xml:space="preserve">Mutect2</w:t>
      </w:r>
      <w:r>
        <w:t xml:space="preserve"> </w:t>
      </w:r>
      <w:r>
        <w:t xml:space="preserve">performs paired somatic mutation calling.</w:t>
      </w:r>
    </w:p>
    <w:p>
      <w:pPr>
        <w:numPr>
          <w:ilvl w:val="0"/>
          <w:numId w:val="1003"/>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4"/>
        </w:numPr>
      </w:pPr>
      <w:r>
        <w:t xml:space="preserve">Unit Testing: We need to incorporate tests to ensure that each task we develop is correct.</w:t>
      </w:r>
    </w:p>
    <w:p>
      <w:pPr>
        <w:numPr>
          <w:ilvl w:val="0"/>
          <w:numId w:val="1004"/>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5"/>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5"/>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5"/>
        </w:numPr>
      </w:pPr>
      <w:r>
        <w:t xml:space="preserve">The process is quick to run, ideally in the range of just a few minutes. This often means using a small subset of actual data.</w:t>
      </w:r>
    </w:p>
    <w:p>
      <w:pPr>
        <w:numPr>
          <w:ilvl w:val="0"/>
          <w:numId w:val="1005"/>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bps around the mutation sites for both genes. In doing so we are able to shrink the data files for quick testing.</w:t>
      </w:r>
    </w:p>
    <w:bookmarkEnd w:id="60"/>
    <w:bookmarkEnd w:id="61"/>
    <w:bookmarkEnd w:id="62"/>
    <w:bookmarkStart w:id="86"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pass into your task’s command section. Typically, you will want to include at least one</w:t>
      </w:r>
      <w:r>
        <w:t xml:space="preserve"> </w:t>
      </w:r>
      <w:r>
        <w:t xml:space="preserve">‘</w:t>
      </w:r>
      <w:r>
        <w:t xml:space="preserve">File</w:t>
      </w:r>
      <w:r>
        <w:t xml:space="preserve">’</w:t>
      </w:r>
      <w:r>
        <w:t xml:space="preserve"> </w:t>
      </w:r>
      <w:r>
        <w:t xml:space="preserve">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format.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BodyText"/>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w:t>
      </w:r>
      <w:r>
        <w:t xml:space="preserve"> </w:t>
      </w:r>
      <w:r>
        <w:rPr>
          <w:iCs/>
          <w:i/>
        </w:rPr>
        <w:t xml:space="preserve">Move all of the input files directly into the working directory</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alignment (BWA) task itself. We can no longer directly pass in</w:t>
      </w:r>
      <w:r>
        <w:t xml:space="preserve"> </w:t>
      </w:r>
      <w:r>
        <w:rPr>
          <w:rStyle w:val="VerbatimChar"/>
        </w:rPr>
        <w:t xml:space="preserve">~{ref_fasta}</w:t>
      </w:r>
      <w:r>
        <w:t xml:space="preserve"> </w:t>
      </w:r>
      <w:r>
        <w:t xml:space="preserve">or any of the other files we moved into the working directory, because those variables will point to a non-existent file in a now-empty input directory. There are several ways to solve this problem:</w:t>
      </w:r>
    </w:p>
    <w:p>
      <w:pPr>
        <w:numPr>
          <w:ilvl w:val="0"/>
          <w:numId w:val="1006"/>
        </w:numPr>
      </w:pPr>
      <w:r>
        <w:t xml:space="preserve">Assuming the filename of an input is constant, which might be a safe assumption for reference files</w:t>
      </w:r>
    </w:p>
    <w:p>
      <w:pPr>
        <w:numPr>
          <w:ilvl w:val="0"/>
          <w:numId w:val="1006"/>
        </w:numPr>
      </w:pPr>
      <w:r>
        <w:t xml:space="preserve">Using the bash built-in basename function</w:t>
      </w:r>
    </w:p>
    <w:p>
      <w:pPr>
        <w:numPr>
          <w:ilvl w:val="0"/>
          <w:numId w:val="1006"/>
        </w:numPr>
      </w:pPr>
      <w:r>
        <w:t xml:space="preserve">Using the WDL built-in</w:t>
      </w:r>
      <w:r>
        <w:t xml:space="preserve"> </w:t>
      </w:r>
      <w:r>
        <w:rPr>
          <w:rStyle w:val="VerbatimChar"/>
        </w:rPr>
        <w:t xml:space="preserve">basename()</w:t>
      </w:r>
      <w:r>
        <w:t xml:space="preserve"> </w:t>
      </w:r>
      <w:r>
        <w:t xml:space="preserve">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w:t>
      </w:r>
      <w:r>
        <w:t xml:space="preserve"> </w:t>
      </w:r>
      <w:r>
        <w:rPr>
          <w:iCs/>
          <w:i/>
        </w:rPr>
        <w:t xml:space="preserve">private variables</w:t>
      </w:r>
      <w:r>
        <w:t xml:space="preserve">.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bookmarkEnd w:id="70"/>
    <w:bookmarkEnd w:id="71"/>
    <w:bookmarkStart w:id="79"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7"/>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7"/>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7"/>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w:t>
      </w:r>
      <w:r>
        <w:t xml:space="preserve"> </w:t>
      </w:r>
      <w:hyperlink r:id="rId73">
        <w:r>
          <w:rPr>
            <w:rStyle w:val="Hyperlink"/>
          </w:rPr>
          <w:t xml:space="preserve">Appendix</w:t>
        </w:r>
      </w:hyperlink>
      <w:r>
        <w:t xml:space="preserve">,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4">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w:t>
      </w:r>
      <w:r>
        <w:t xml:space="preserve"> </w:t>
      </w:r>
      <w:r>
        <w:rPr>
          <w:iCs/>
          <w:i/>
          <w:bCs/>
          <w:b/>
        </w:rPr>
        <w:t xml:space="preserve">Beware</w:t>
      </w:r>
      <w:r>
        <w:t xml:space="preserve"> </w:t>
      </w:r>
      <w:r>
        <w:t xml:space="preserve">that as of February 2024, Cromwell does not support WDL 1.1.</w:t>
      </w:r>
    </w:p>
    <w:bookmarkStart w:id="78"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8"/>
        </w:numPr>
      </w:pPr>
      <w:r>
        <w:t xml:space="preserve">Some software is difficult to install or compile on certain systems</w:t>
      </w:r>
    </w:p>
    <w:p>
      <w:pPr>
        <w:numPr>
          <w:ilvl w:val="0"/>
          <w:numId w:val="1008"/>
        </w:numPr>
      </w:pPr>
      <w:r>
        <w:t xml:space="preserve">Some programs have conflicting dependencies</w:t>
      </w:r>
    </w:p>
    <w:p>
      <w:pPr>
        <w:numPr>
          <w:ilvl w:val="0"/>
          <w:numId w:val="1008"/>
        </w:numPr>
      </w:pPr>
      <w:r>
        <w:t xml:space="preserve">You may not want to directly install software on your system to prevent it from breaking existing software</w:t>
      </w:r>
    </w:p>
    <w:p>
      <w:pPr>
        <w:numPr>
          <w:ilvl w:val="0"/>
          <w:numId w:val="1008"/>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 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5">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6">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7">
        <w:r>
          <w:rPr>
            <w:rStyle w:val="Hyperlink"/>
          </w:rPr>
          <w:t xml:space="preserve">Docker’s official curriculum</w:t>
        </w:r>
      </w:hyperlink>
      <w:r>
        <w:t xml:space="preserve">.</w:t>
      </w:r>
    </w:p>
    <w:bookmarkEnd w:id="78"/>
    <w:bookmarkEnd w:id="79"/>
    <w:bookmarkStart w:id="80"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w:t>
      </w:r>
      <w:r>
        <w:t xml:space="preserve"> </w:t>
      </w:r>
      <w:r>
        <w:rPr>
          <w:rStyle w:val="VerbatimChar"/>
        </w:rPr>
        <w:t xml:space="preserve">glob()</w:t>
      </w:r>
      <w:r>
        <w:t xml:space="preserve"> </w:t>
      </w:r>
      <w:r>
        <w:t xml:space="preserve">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0"/>
    <w:bookmarkStart w:id="81"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1"/>
    <w:bookmarkStart w:id="82"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2"/>
    <w:bookmarkStart w:id="85"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3">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4">
        <w:r>
          <w:rPr>
            <w:rStyle w:val="Hyperlink"/>
          </w:rPr>
          <w:t xml:space="preserve">downloaded from the Broad Institute’s mirror</w:t>
        </w:r>
      </w:hyperlink>
      <w:r>
        <w:t xml:space="preserve">.</w:t>
      </w:r>
    </w:p>
    <w:bookmarkEnd w:id="85"/>
    <w:bookmarkEnd w:id="86"/>
    <w:bookmarkStart w:id="98"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9"/>
        </w:numPr>
        <w:pStyle w:val="Compact"/>
      </w:pPr>
      <w:r>
        <w:rPr>
          <w:rStyle w:val="VerbatimChar"/>
        </w:rPr>
        <w:t xml:space="preserve">BwaMem</w:t>
      </w:r>
      <w:r>
        <w:t xml:space="preserve"> </w:t>
      </w:r>
      <w:r>
        <w:t xml:space="preserve">aligns the samples to the reference genome</w:t>
      </w:r>
    </w:p>
    <w:p>
      <w:pPr>
        <w:numPr>
          <w:ilvl w:val="0"/>
          <w:numId w:val="1009"/>
        </w:numPr>
        <w:pStyle w:val="Compact"/>
      </w:pPr>
      <w:r>
        <w:rPr>
          <w:rStyle w:val="VerbatimChar"/>
        </w:rPr>
        <w:t xml:space="preserve">MarkDuplicates</w:t>
      </w:r>
      <w:r>
        <w:t xml:space="preserve"> </w:t>
      </w:r>
      <w:r>
        <w:t xml:space="preserve">marks PCR duplicates</w:t>
      </w:r>
    </w:p>
    <w:p>
      <w:pPr>
        <w:numPr>
          <w:ilvl w:val="0"/>
          <w:numId w:val="1009"/>
        </w:numPr>
        <w:pStyle w:val="Compact"/>
      </w:pPr>
      <w:r>
        <w:rPr>
          <w:rStyle w:val="VerbatimChar"/>
        </w:rPr>
        <w:t xml:space="preserve">ApplyBaseRecalibrator</w:t>
      </w:r>
      <w:r>
        <w:t xml:space="preserve"> </w:t>
      </w:r>
      <w:r>
        <w:t xml:space="preserve">applies base recalibration</w:t>
      </w:r>
    </w:p>
    <w:p>
      <w:pPr>
        <w:numPr>
          <w:ilvl w:val="0"/>
          <w:numId w:val="1009"/>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9"/>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9"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w:t>
      </w:r>
      <w:r>
        <w:t xml:space="preserve">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7">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8">
        <w:r>
          <w:rPr>
            <w:rStyle w:val="Hyperlink"/>
          </w:rPr>
          <w:t xml:space="preserve">OpenWDL Docs</w:t>
        </w:r>
      </w:hyperlink>
      <w:r>
        <w:t xml:space="preserve">’s section on workflow plumbing.</w:t>
      </w:r>
    </w:p>
    <w:bookmarkEnd w:id="89"/>
    <w:bookmarkStart w:id="96"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0"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0"/>
    <w:bookmarkStart w:id="91"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1"/>
    <w:bookmarkStart w:id="92"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2"/>
    <w:bookmarkStart w:id="93"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3"/>
    <w:bookmarkStart w:id="95"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4">
        <w:r>
          <w:rPr>
            <w:rStyle w:val="Hyperlink"/>
          </w:rPr>
          <w:t xml:space="preserve">PCR duplicate flag in reads</w:t>
        </w:r>
      </w:hyperlink>
      <w:r>
        <w:t xml:space="preserve">, which has a decimal value of 1024 in the SAM Flags Field.</w:t>
      </w:r>
    </w:p>
    <w:bookmarkEnd w:id="95"/>
    <w:bookmarkEnd w:id="96"/>
    <w:bookmarkStart w:id="97"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7"/>
    <w:bookmarkEnd w:id="98"/>
    <w:bookmarkStart w:id="101"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9">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0">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1"/>
    <w:bookmarkStart w:id="112"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0"/>
        </w:numPr>
      </w:pPr>
      <w:r>
        <w:t xml:space="preserve">How to use scattered tasks to run a workflow on multiple samples at once</w:t>
      </w:r>
    </w:p>
    <w:p>
      <w:pPr>
        <w:numPr>
          <w:ilvl w:val="0"/>
          <w:numId w:val="1010"/>
        </w:numPr>
      </w:pPr>
      <w:r>
        <w:t xml:space="preserve">How to use arrays effectively</w:t>
      </w:r>
    </w:p>
    <w:p>
      <w:pPr>
        <w:numPr>
          <w:ilvl w:val="0"/>
          <w:numId w:val="1010"/>
        </w:numPr>
      </w:pPr>
      <w:r>
        <w:t xml:space="preserve">How to reference arrays in a task’s command section</w:t>
      </w:r>
    </w:p>
    <w:p>
      <w:pPr>
        <w:numPr>
          <w:ilvl w:val="0"/>
          <w:numId w:val="1010"/>
        </w:numPr>
      </w:pPr>
      <w:r>
        <w:t xml:space="preserve">How arrays differ from Structs</w:t>
      </w:r>
    </w:p>
    <w:bookmarkStart w:id="104"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2">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3">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3">
        <w:r>
          <w:rPr>
            <w:rStyle w:val="Hyperlink"/>
          </w:rPr>
          <w:t xml:space="preserve">immutable</w:t>
        </w:r>
      </w:hyperlink>
      <w:r>
        <w:t xml:space="preserve">, if you wish to add values to an array, you will need to define a new array.</w:t>
      </w:r>
    </w:p>
    <w:bookmarkEnd w:id="104"/>
    <w:bookmarkStart w:id="106"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5"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5"/>
    <w:bookmarkEnd w:id="106"/>
    <w:bookmarkStart w:id="108"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BodyText"/>
      </w:pPr>
      <w:r>
        <w:t xml:space="preserve">A scatter is essentially the WDL version of a</w:t>
      </w:r>
      <w:r>
        <w:t xml:space="preserve"> </w:t>
      </w:r>
      <w:hyperlink r:id="rId107">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8"/>
    <w:bookmarkStart w:id="110"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9">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0"/>
    <w:bookmarkStart w:id="111"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1"/>
    <w:bookmarkEnd w:id="112"/>
    <w:bookmarkStart w:id="118"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3"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3"/>
    <w:bookmarkStart w:id="114"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4"/>
    <w:bookmarkStart w:id="115"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5"/>
    <w:bookmarkStart w:id="116"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6"/>
    <w:bookmarkStart w:id="117"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bookmarkEnd w:id="117"/>
    <w:bookmarkEnd w:id="118"/>
    <w:bookmarkStart w:id="131"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0"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9">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0"/>
    <w:bookmarkStart w:id="121" w:name="general-advice"/>
    <w:p>
      <w:pPr>
        <w:pStyle w:val="Heading2"/>
      </w:pPr>
      <w:r>
        <w:rPr>
          <w:rStyle w:val="SectionNumber"/>
        </w:rPr>
        <w:t xml:space="preserve">8.2</w:t>
      </w:r>
      <w:r>
        <w:tab/>
      </w:r>
      <w:r>
        <w:t xml:space="preserve">General advice</w:t>
      </w:r>
    </w:p>
    <w:p>
      <w:pPr>
        <w:numPr>
          <w:ilvl w:val="0"/>
          <w:numId w:val="1011"/>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1"/>
        </w:numPr>
        <w:pStyle w:val="Compact"/>
      </w:pPr>
      <w:r>
        <w:t xml:space="preserve">The Dockstore CLI, as of v1.15, uses Cromwell to run WDLs. Advice about Cromwell will therefore also apply to the Dockstore CLI.</w:t>
      </w:r>
    </w:p>
    <w:p>
      <w:pPr>
        <w:numPr>
          <w:ilvl w:val="0"/>
          <w:numId w:val="1011"/>
        </w:numPr>
        <w:pStyle w:val="Compact"/>
      </w:pPr>
      <w:r>
        <w:t xml:space="preserve">If running a workflow with a scattered task on a local compute, consider using miniwdl instead of Cromwell.</w:t>
      </w:r>
    </w:p>
    <w:p>
      <w:pPr>
        <w:numPr>
          <w:ilvl w:val="0"/>
          <w:numId w:val="1011"/>
        </w:numPr>
        <w:pStyle w:val="Compact"/>
      </w:pPr>
      <w:r>
        <w:t xml:space="preserve">Whether you are using miniwdl or Cromwell locally, make sure Docker has enough resources to be able to download and run the Docker images specified in your WDL tasks.</w:t>
      </w:r>
    </w:p>
    <w:p>
      <w:pPr>
        <w:numPr>
          <w:ilvl w:val="0"/>
          <w:numId w:val="1011"/>
        </w:numPr>
        <w:pStyle w:val="Compact"/>
      </w:pPr>
      <w:r>
        <w:t xml:space="preserve">Workflow systems with a UI like Terra may become unresponsive if you run a task scattered more than 1000x. Outputs may need to be interacted with using an API specific to that backend.</w:t>
      </w:r>
    </w:p>
    <w:bookmarkEnd w:id="121"/>
    <w:bookmarkStart w:id="124" w:name="executor-specific-notes"/>
    <w:p>
      <w:pPr>
        <w:pStyle w:val="Heading2"/>
      </w:pPr>
      <w:r>
        <w:rPr>
          <w:rStyle w:val="SectionNumber"/>
        </w:rPr>
        <w:t xml:space="preserve">8.3</w:t>
      </w:r>
      <w:r>
        <w:tab/>
      </w:r>
      <w:r>
        <w:t xml:space="preserve">Executor-specific notes</w:t>
      </w:r>
    </w:p>
    <w:bookmarkStart w:id="122"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2"/>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2"/>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2"/>
        </w:numPr>
      </w:pPr>
      <w:r>
        <w:t xml:space="preserve">Cromwell does not use call caching on most backends, but it is the default on Terra. For non-Terra backends, it can be enabled in the Cromwell configuration file.</w:t>
      </w:r>
    </w:p>
    <w:p>
      <w:pPr>
        <w:numPr>
          <w:ilvl w:val="0"/>
          <w:numId w:val="1012"/>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2"/>
        </w:numPr>
      </w:pPr>
      <w:r>
        <w:t xml:space="preserve">Generally speaking, Cromwell will be able to directly modify input files by default without causing permission errors.</w:t>
      </w:r>
    </w:p>
    <w:bookmarkEnd w:id="122"/>
    <w:bookmarkStart w:id="123"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3"/>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3"/>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3"/>
        </w:numPr>
      </w:pPr>
      <w:r>
        <w:t xml:space="preserve">miniwdl supports call caching, but it is turned off by default.</w:t>
      </w:r>
    </w:p>
    <w:p>
      <w:pPr>
        <w:numPr>
          <w:ilvl w:val="0"/>
          <w:numId w:val="1013"/>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3"/>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3"/>
    <w:bookmarkEnd w:id="124"/>
    <w:bookmarkStart w:id="130" w:name="backend-specific-notes"/>
    <w:p>
      <w:pPr>
        <w:pStyle w:val="Heading2"/>
      </w:pPr>
      <w:r>
        <w:rPr>
          <w:rStyle w:val="SectionNumber"/>
        </w:rPr>
        <w:t xml:space="preserve">8.4</w:t>
      </w:r>
      <w:r>
        <w:tab/>
      </w:r>
      <w:r>
        <w:t xml:space="preserve">Backend-specific notes</w:t>
      </w:r>
    </w:p>
    <w:bookmarkStart w:id="127" w:name="gcp"/>
    <w:p>
      <w:pPr>
        <w:pStyle w:val="Heading3"/>
      </w:pPr>
      <w:r>
        <w:rPr>
          <w:rStyle w:val="SectionNumber"/>
        </w:rPr>
        <w:t xml:space="preserve">8.4.1</w:t>
      </w:r>
      <w:r>
        <w:tab/>
      </w:r>
      <w:r>
        <w:t xml:space="preserve">GCP</w:t>
      </w:r>
    </w:p>
    <w:bookmarkStart w:id="125"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4"/>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4"/>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4"/>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5"/>
    <w:bookmarkStart w:id="126"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6"/>
    <w:bookmarkEnd w:id="127"/>
    <w:bookmarkStart w:id="129"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8" w:name="fred-hutch-hpc"/>
    <w:p>
      <w:pPr>
        <w:pStyle w:val="Heading4"/>
      </w:pPr>
      <w:r>
        <w:rPr>
          <w:rStyle w:val="SectionNumber"/>
        </w:rPr>
        <w:t xml:space="preserve">8.4.2.1</w:t>
      </w:r>
      <w:r>
        <w:tab/>
      </w:r>
      <w:r>
        <w:t xml:space="preserve">Fred Hutch HPC</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7"/>
        </w:numPr>
      </w:pPr>
      <w:r>
        <w:t xml:space="preserve">The Fred Hutch HPC supports the use of multiple JSON files going into the same workflow</w:t>
      </w:r>
    </w:p>
    <w:bookmarkEnd w:id="128"/>
    <w:bookmarkEnd w:id="129"/>
    <w:bookmarkEnd w:id="130"/>
    <w:bookmarkEnd w:id="131"/>
    <w:bookmarkStart w:id="138" w:name="about-the-authors"/>
    <w:p>
      <w:pPr>
        <w:pStyle w:val="Heading1"/>
      </w:pPr>
      <w:r>
        <w:t xml:space="preserve">About the Authors</w:t>
      </w:r>
    </w:p>
    <w:p>
      <w:pPr>
        <w:pStyle w:val="FirstParagraph"/>
      </w:pPr>
      <w:r>
        <w:t xml:space="preserve">These credits are based on our</w:t>
      </w:r>
      <w:r>
        <w:t xml:space="preserve"> </w:t>
      </w:r>
      <w:hyperlink r:id="rId13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3">
              <w:r>
                <w:rPr>
                  <w:rStyle w:val="Hyperlink"/>
                </w:rPr>
                <w:t xml:space="preserve">Candace Savonen</w:t>
              </w:r>
            </w:hyperlink>
            <w:r>
              <w:t xml:space="preserve">,</w:t>
            </w:r>
            <w:r>
              <w:t xml:space="preserve"> </w:t>
            </w:r>
            <w:hyperlink r:id="rId134">
              <w:r>
                <w:rPr>
                  <w:rStyle w:val="Hyperlink"/>
                </w:rPr>
                <w:t xml:space="preserve">Carrie Wright</w:t>
              </w:r>
            </w:hyperlink>
            <w:r>
              <w:t xml:space="preserve">,</w:t>
            </w:r>
            <w:r>
              <w:t xml:space="preserve"> </w:t>
            </w:r>
            <w:hyperlink r:id="rId13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4">
              <w:r>
                <w:rPr>
                  <w:rStyle w:val="Hyperlink"/>
                </w:rPr>
                <w:t xml:space="preserve">Carrie Wright</w:t>
              </w:r>
            </w:hyperlink>
            <w:r>
              <w:t xml:space="preserve">,</w:t>
            </w:r>
            <w:r>
              <w:t xml:space="preserve"> </w:t>
            </w:r>
            <w:hyperlink r:id="rId135">
              <w:r>
                <w:rPr>
                  <w:rStyle w:val="Hyperlink"/>
                </w:rPr>
                <w:t xml:space="preserve">Ava Hoffman</w:t>
              </w:r>
            </w:hyperlink>
            <w:r>
              <w:t xml:space="preserve">,</w:t>
            </w:r>
            <w:r>
              <w:t xml:space="preserve"> </w:t>
            </w:r>
            <w:hyperlink r:id="rId133">
              <w:r>
                <w:rPr>
                  <w:rStyle w:val="Hyperlink"/>
                </w:rPr>
                <w:t xml:space="preserve">Candace Savonen</w:t>
              </w:r>
            </w:hyperlink>
          </w:p>
        </w:tc>
      </w:tr>
      <w:tr>
        <w:tc>
          <w:tcPr/>
          <w:p>
            <w:pPr>
              <w:pStyle w:val="Compact"/>
              <w:jc w:val="left"/>
            </w:pPr>
            <w:r>
              <w:t xml:space="preserve">Package Developers (</w:t>
            </w:r>
            <w:hyperlink r:id="rId136">
              <w:r>
                <w:rPr>
                  <w:rStyle w:val="Hyperlink"/>
                </w:rPr>
                <w:t xml:space="preserve">ottrpal</w:t>
              </w:r>
            </w:hyperlink>
            <w:r>
              <w:t xml:space="preserve">)</w:t>
            </w:r>
            <w:r>
              <w:t xml:space="preserve"> </w:t>
            </w:r>
            <w:hyperlink r:id="rId133">
              <w:r>
                <w:rPr>
                  <w:rStyle w:val="Hyperlink"/>
                </w:rPr>
                <w:t xml:space="preserve">Candace Savonen</w:t>
              </w:r>
            </w:hyperlink>
            <w:r>
              <w:t xml:space="preserve">,</w:t>
            </w:r>
            <w:r>
              <w:t xml:space="preserve"> </w:t>
            </w:r>
            <w:hyperlink r:id="rId137">
              <w:r>
                <w:rPr>
                  <w:rStyle w:val="Hyperlink"/>
                </w:rPr>
                <w:t xml:space="preserve">John Muschelli</w:t>
              </w:r>
            </w:hyperlink>
            <w:r>
              <w:t xml:space="preserve">,</w:t>
            </w:r>
            <w:r>
              <w:t xml:space="preserve"> </w:t>
            </w:r>
            <w:hyperlink r:id="rId134">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8"/>
    <w:bookmarkStart w:id="139" w:name="references"/>
    <w:p>
      <w:pPr>
        <w:pStyle w:val="Heading1"/>
      </w:pPr>
      <w:r>
        <w:rPr>
          <w:rStyle w:val="SectionNumber"/>
        </w:rPr>
        <w:t xml:space="preserve">9</w:t>
      </w:r>
      <w:r>
        <w:tab/>
      </w:r>
      <w:r>
        <w:t xml:space="preserve">References</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34" Target="https://carriewright11.github.io/" TargetMode="External" /><Relationship Type="http://schemas.openxmlformats.org/officeDocument/2006/relationships/hyperlink" Id="rId84" Target="https://data.broadinstitute.org/snowman/hg19/" TargetMode="External" /><Relationship Type="http://schemas.openxmlformats.org/officeDocument/2006/relationships/hyperlink" Id="rId77" Target="https://docker-curriculum.com/#introduction" TargetMode="External" /><Relationship Type="http://schemas.openxmlformats.org/officeDocument/2006/relationships/hyperlink" Id="rId76"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7" Target="https://docs.openwdl.org/en/latest/WDL/Linear_chaining/" TargetMode="External" /><Relationship Type="http://schemas.openxmlformats.org/officeDocument/2006/relationships/hyperlink" Id="rId88"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9"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9" Target="https://en.wikipedia.org/wiki/Elapsed_real_time" TargetMode="External" /><Relationship Type="http://schemas.openxmlformats.org/officeDocument/2006/relationships/hyperlink" Id="rId107" Target="https://en.wikipedia.org/wiki/For_loop" TargetMode="External" /><Relationship Type="http://schemas.openxmlformats.org/officeDocument/2006/relationships/hyperlink" Id="rId103" Target="https://en.wikipedia.org/wiki/Immutable_object" TargetMode="External" /><Relationship Type="http://schemas.openxmlformats.org/officeDocument/2006/relationships/hyperlink" Id="rId102" Target="https://en.wikipedia.org/wiki/Primitive_data_type" TargetMode="External" /><Relationship Type="http://schemas.openxmlformats.org/officeDocument/2006/relationships/hyperlink" Id="rId94"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3" Target="https://github.com/fhdsl/WDL-sandbox/tree/main/data" TargetMode="External" /><Relationship Type="http://schemas.openxmlformats.org/officeDocument/2006/relationships/hyperlink" Id="rId136"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100"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4" Target="https://github.com/openwdl/wdl/blob/main/versions/1.1/SPEC.md#runtime-section" TargetMode="External" /><Relationship Type="http://schemas.openxmlformats.org/officeDocument/2006/relationships/hyperlink" Id="rId75" Target="https://hub.docker.com/search?q=" TargetMode="External" /><Relationship Type="http://schemas.openxmlformats.org/officeDocument/2006/relationships/hyperlink" Id="rId73" Target="https://hutchdatascience.org/WDL_Workflows_Guide/appendix-backends-and-executors.html" TargetMode="External" /><Relationship Type="http://schemas.openxmlformats.org/officeDocument/2006/relationships/hyperlink" Id="rId137"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2"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34" Target="https://carriewright11.github.io/" TargetMode="External" /><Relationship Type="http://schemas.openxmlformats.org/officeDocument/2006/relationships/hyperlink" Id="rId84" Target="https://data.broadinstitute.org/snowman/hg19/" TargetMode="External" /><Relationship Type="http://schemas.openxmlformats.org/officeDocument/2006/relationships/hyperlink" Id="rId77" Target="https://docker-curriculum.com/#introduction" TargetMode="External" /><Relationship Type="http://schemas.openxmlformats.org/officeDocument/2006/relationships/hyperlink" Id="rId76"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7" Target="https://docs.openwdl.org/en/latest/WDL/Linear_chaining/" TargetMode="External" /><Relationship Type="http://schemas.openxmlformats.org/officeDocument/2006/relationships/hyperlink" Id="rId88"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9"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9" Target="https://en.wikipedia.org/wiki/Elapsed_real_time" TargetMode="External" /><Relationship Type="http://schemas.openxmlformats.org/officeDocument/2006/relationships/hyperlink" Id="rId107" Target="https://en.wikipedia.org/wiki/For_loop" TargetMode="External" /><Relationship Type="http://schemas.openxmlformats.org/officeDocument/2006/relationships/hyperlink" Id="rId103" Target="https://en.wikipedia.org/wiki/Immutable_object" TargetMode="External" /><Relationship Type="http://schemas.openxmlformats.org/officeDocument/2006/relationships/hyperlink" Id="rId102" Target="https://en.wikipedia.org/wiki/Primitive_data_type" TargetMode="External" /><Relationship Type="http://schemas.openxmlformats.org/officeDocument/2006/relationships/hyperlink" Id="rId94"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3" Target="https://github.com/fhdsl/WDL-sandbox/tree/main/data" TargetMode="External" /><Relationship Type="http://schemas.openxmlformats.org/officeDocument/2006/relationships/hyperlink" Id="rId136"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100"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4" Target="https://github.com/openwdl/wdl/blob/main/versions/1.1/SPEC.md#runtime-section" TargetMode="External" /><Relationship Type="http://schemas.openxmlformats.org/officeDocument/2006/relationships/hyperlink" Id="rId75" Target="https://hub.docker.com/search?q=" TargetMode="External" /><Relationship Type="http://schemas.openxmlformats.org/officeDocument/2006/relationships/hyperlink" Id="rId73" Target="https://hutchdatascience.org/WDL_Workflows_Guide/appendix-backends-and-executors.html" TargetMode="External" /><Relationship Type="http://schemas.openxmlformats.org/officeDocument/2006/relationships/hyperlink" Id="rId137"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2"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2024-03-10T01:56:40Z</dcterms:created>
  <dcterms:modified xsi:type="dcterms:W3CDTF">2024-03-10T01:56:40Z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