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April,</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WDLizing your bash scripts into tasks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Style w:val="Compact"/>
      </w:pPr>
      <w:r>
        <w:t xml:space="preserve">How to write an effective WDL task</w:t>
      </w:r>
    </w:p>
    <w:p>
      <w:pPr>
        <w:numPr>
          <w:ilvl w:val="0"/>
          <w:numId w:val="1003"/>
        </w:numPr>
        <w:pStyle w:val="Compact"/>
      </w:pPr>
      <w:r>
        <w:t xml:space="preserve">Link multiple WDL tasks together in a workflow</w:t>
      </w:r>
    </w:p>
    <w:p>
      <w:pPr>
        <w:numPr>
          <w:ilvl w:val="0"/>
          <w:numId w:val="1003"/>
        </w:numPr>
        <w:pStyle w:val="Compact"/>
      </w:pPr>
      <w:r>
        <w:t xml:space="preserve">Organize variables via structs, scale multiple samples via Arrays</w:t>
      </w:r>
    </w:p>
    <w:p>
      <w:pPr>
        <w:numPr>
          <w:ilvl w:val="0"/>
          <w:numId w:val="1003"/>
        </w:numPr>
        <w:pStyle w:val="Compact"/>
      </w:pPr>
      <w:r>
        <w:t xml:space="preserve">Reuse repeated tasks via task aliasing</w:t>
      </w:r>
    </w:p>
    <w:p>
      <w:pPr>
        <w:numPr>
          <w:ilvl w:val="0"/>
          <w:numId w:val="1003"/>
        </w:numPr>
        <w:pStyle w:val="Compact"/>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9"/>
    <w:bookmarkEnd w:id="50"/>
    <w:bookmarkEnd w:id="51"/>
    <w:bookmarkEnd w:id="52"/>
    <w:bookmarkStart w:id="64"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5"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4">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tblPr>
      <w:tblGrid>
        <w:gridCol w:w="1267"/>
        <w:gridCol w:w="2534"/>
        <w:gridCol w:w="1900"/>
        <w:gridCol w:w="2217"/>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w:t>
            </w:r>
            <w:r>
              <w:t xml:space="preserve">) file</w:t>
            </w:r>
          </w:p>
        </w:tc>
        <w:tc>
          <w:tcPr/>
          <w:p>
            <w:pPr>
              <w:pStyle w:val="Compact"/>
              <w:jc w:val="left"/>
            </w:pPr>
            <w:r>
              <w:rPr>
                <w:rStyle w:val="VerbatimChar"/>
              </w:rPr>
              <w:t xml:space="preserve">.bam</w:t>
            </w:r>
            <w:r>
              <w:t xml:space="preserve"> </w:t>
            </w:r>
            <w:r>
              <w:t xml:space="preserve">file</w:t>
            </w:r>
          </w:p>
        </w:tc>
      </w:tr>
      <w:tr>
        <w:tc>
          <w:tcPr/>
          <w:p>
            <w:pPr>
              <w:pStyle w:val="Compact"/>
              <w:jc w:val="left"/>
            </w:pPr>
            <w:r>
              <w:rPr>
                <w:rStyle w:val="VerbatimChar"/>
              </w:rPr>
              <w:t xml:space="preserve">MarkDuplicates|marks PCR duplicates|</w:t>
            </w:r>
            <w:r>
              <w:t xml:space="preserve">.bam</w:t>
            </w:r>
            <w:r>
              <w:rPr>
                <w:rStyle w:val="VerbatimChar"/>
              </w:rPr>
              <w:t xml:space="preserve">file|marked</w:t>
            </w:r>
            <w:r>
              <w:t xml:space="preserve">.bam</w:t>
            </w:r>
            <w:r>
              <w:rPr>
                <w:rStyle w:val="VerbatimChar"/>
              </w:rPr>
              <w:t xml:space="preserve">file| |</w:t>
            </w:r>
            <w:r>
              <w:t xml:space="preserve">ApplyBaseRecalibrator</w:t>
            </w:r>
            <w:r>
              <w:rPr>
                <w:rStyle w:val="VerbatimChar"/>
              </w:rPr>
              <w:t xml:space="preserve">|performs base quality recalibration|marked</w:t>
            </w:r>
            <w:r>
              <w:t xml:space="preserve">.bam</w:t>
            </w:r>
            <w:r>
              <w:rPr>
                <w:rStyle w:val="VerbatimChar"/>
              </w:rPr>
              <w:t xml:space="preserve">file|</w:t>
            </w:r>
            <w:r>
              <w:t xml:space="preserve">.bam</w:t>
            </w:r>
            <w:r>
              <w:rPr>
                <w:rStyle w:val="VerbatimChar"/>
              </w:rPr>
              <w:t xml:space="preserve">file| |</w:t>
            </w:r>
            <w:r>
              <w:t xml:space="preserve">Mutect2</w:t>
            </w:r>
            <w:r>
              <w:rPr>
                <w:rStyle w:val="VerbatimChar"/>
              </w:rPr>
              <w:t xml:space="preserve">|performs paired somatic mutation calling|</w:t>
            </w:r>
            <w:r>
              <w:t xml:space="preserve">.bam</w:t>
            </w:r>
            <w:r>
              <w:rPr>
                <w:rStyle w:val="VerbatimChar"/>
              </w:rPr>
              <w:t xml:space="preserve">file|</w:t>
            </w:r>
            <w:r>
              <w:t xml:space="preserve">.vcf</w:t>
            </w:r>
            <w:r>
              <w:rPr>
                <w:rStyle w:val="VerbatimChar"/>
              </w:rPr>
              <w:t xml:space="preserve">file| |</w:t>
            </w:r>
            <w:r>
              <w:t xml:space="preserve">annovar</w:t>
            </w:r>
            <w:r>
              <w:rPr>
                <w:rStyle w:val="VerbatimChar"/>
              </w:rPr>
              <w:t xml:space="preserve">|annotates the called somatic mutations|</w:t>
            </w:r>
            <w:r>
              <w:t xml:space="preserve">.vcf</w:t>
            </w:r>
            <w:r>
              <w:rPr>
                <w:rStyle w:val="VerbatimChar"/>
              </w:rPr>
              <w:t xml:space="preserve">file with somatic mutations|annotated</w:t>
            </w:r>
            <w:r>
              <w:t xml:space="preserve">.vcf` file</w:t>
            </w:r>
          </w:p>
        </w:tc>
        <w:tc>
          <w:tcPr/>
          <w:p>
            <w:pPr>
              <w:pStyle w:val="Compact"/>
            </w:pPr>
          </w:p>
        </w:tc>
        <w:tc>
          <w:tcPr/>
          <w:p>
            <w:pPr>
              <w:pStyle w:val="Compact"/>
            </w:pPr>
          </w:p>
        </w:tc>
        <w:tc>
          <w:tcPr/>
          <w:p>
            <w:pPr>
              <w:pStyle w:val="Compact"/>
            </w:pPr>
          </w:p>
        </w:tc>
      </w:tr>
    </w:tbl>
    <w:bookmarkEnd w:id="55"/>
    <w:bookmarkStart w:id="57"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6">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7"/>
    <w:bookmarkStart w:id="63"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8">
        <w:r>
          <w:rPr>
            <w:rStyle w:val="Hyperlink"/>
          </w:rPr>
          <w:t xml:space="preserve">Cancer Cell Line Encyclopedia</w:t>
        </w:r>
      </w:hyperlink>
      <w:r>
        <w:t xml:space="preserve">.</w:t>
      </w:r>
    </w:p>
    <w:bookmarkStart w:id="59"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9"/>
    <w:bookmarkStart w:id="60"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0"/>
    <w:bookmarkStart w:id="61"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1"/>
    <w:bookmarkStart w:id="62"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2"/>
    <w:bookmarkEnd w:id="63"/>
    <w:bookmarkEnd w:id="64"/>
    <w:bookmarkStart w:id="87"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3"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6"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5">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6"/>
    <w:bookmarkStart w:id="71"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7">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8">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9">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0">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1"/>
    <w:bookmarkStart w:id="72"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2"/>
    <w:bookmarkEnd w:id="73"/>
    <w:bookmarkStart w:id="80"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4">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5">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9"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76">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7">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8">
        <w:r>
          <w:rPr>
            <w:rStyle w:val="Hyperlink"/>
          </w:rPr>
          <w:t xml:space="preserve">Docker’s official curriculum</w:t>
        </w:r>
      </w:hyperlink>
      <w:r>
        <w:t xml:space="preserve">.</w:t>
      </w:r>
    </w:p>
    <w:bookmarkEnd w:id="79"/>
    <w:bookmarkEnd w:id="80"/>
    <w:bookmarkStart w:id="81"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1"/>
    <w:bookmarkStart w:id="82"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essentially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2"/>
    <w:bookmarkStart w:id="83"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3"/>
    <w:bookmarkStart w:id="86"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4">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5">
        <w:r>
          <w:rPr>
            <w:rStyle w:val="Hyperlink"/>
          </w:rPr>
          <w:t xml:space="preserve">downloaded from the Broad Institute’s mirror</w:t>
        </w:r>
      </w:hyperlink>
      <w:r>
        <w:t xml:space="preserve">.</w:t>
      </w:r>
    </w:p>
    <w:bookmarkEnd w:id="86"/>
    <w:bookmarkEnd w:id="87"/>
    <w:bookmarkStart w:id="99"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0"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8">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9">
        <w:r>
          <w:rPr>
            <w:rStyle w:val="Hyperlink"/>
          </w:rPr>
          <w:t xml:space="preserve">OpenWDL Docs</w:t>
        </w:r>
      </w:hyperlink>
      <w:r>
        <w:t xml:space="preserve">’s section on workflow plumbing.</w:t>
      </w:r>
    </w:p>
    <w:bookmarkEnd w:id="90"/>
    <w:bookmarkStart w:id="97"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1"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1"/>
    <w:bookmarkStart w:id="92"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2"/>
    <w:bookmarkStart w:id="93"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3"/>
    <w:bookmarkStart w:id="94"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4"/>
    <w:bookmarkStart w:id="96"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5">
        <w:r>
          <w:rPr>
            <w:rStyle w:val="Hyperlink"/>
          </w:rPr>
          <w:t xml:space="preserve">PCR duplicate flag in reads</w:t>
        </w:r>
      </w:hyperlink>
      <w:r>
        <w:t xml:space="preserve">, which has a decimal value of 1024 in the SAM Flags Field.</w:t>
      </w:r>
    </w:p>
    <w:bookmarkEnd w:id="96"/>
    <w:bookmarkEnd w:id="97"/>
    <w:bookmarkStart w:id="98"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8"/>
    <w:bookmarkEnd w:id="99"/>
    <w:bookmarkStart w:id="102"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0">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1">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           ## our struct</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02"/>
    <w:bookmarkStart w:id="113"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5"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3">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4">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4">
        <w:r>
          <w:rPr>
            <w:rStyle w:val="Hyperlink"/>
          </w:rPr>
          <w:t xml:space="preserve">immutable</w:t>
        </w:r>
      </w:hyperlink>
      <w:r>
        <w:t xml:space="preserve">, if you wish to add values to an array, you will need to define a new array.</w:t>
      </w:r>
    </w:p>
    <w:bookmarkEnd w:id="105"/>
    <w:bookmarkStart w:id="107"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6"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6"/>
    <w:bookmarkEnd w:id="107"/>
    <w:bookmarkStart w:id="109"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8">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09"/>
    <w:bookmarkStart w:id="111"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0">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1"/>
    <w:bookmarkStart w:id="112" w:name="the-workflow-so-far"/>
    <w:p>
      <w:pPr>
        <w:pStyle w:val="Heading2"/>
      </w:pPr>
      <w:r>
        <w:rPr>
          <w:rStyle w:val="SectionNumber"/>
        </w:rPr>
        <w:t xml:space="preserve">6.5</w:t>
      </w:r>
      <w:r>
        <w:tab/>
      </w:r>
      <w:r>
        <w:t xml:space="preserve">The workflow so far</w:t>
      </w:r>
    </w:p>
    <w:p>
      <w:pPr>
        <w:pStyle w:val="SourceCode"/>
      </w:pPr>
      <w:r>
        <w:rPr>
          <w:rStyle w:val="VerbatimChar"/>
        </w:rPr>
        <w:t xml:space="preserve">version 1.0</w:t>
      </w:r>
      <w:r>
        <w:br/>
      </w:r>
      <w:r>
        <w:br/>
      </w:r>
      <w:r>
        <w:rPr>
          <w:rStyle w:val="VerbatimChar"/>
        </w:rPr>
        <w:t xml:space="preserve">## Workflow developed by Sitapriya Moorthi @ Fred Hutch LMD: 01/10/24 for use by DaSL @ Fred Hutch.</w:t>
      </w:r>
      <w:r>
        <w:br/>
      </w:r>
      <w:r>
        <w:rPr>
          <w:rStyle w:val="VerbatimChar"/>
        </w:rPr>
        <w:t xml:space="preserve">## Workflow updated on: 02/28/24 by Ash O'Farrell (UCSC)</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p>
    <w:bookmarkEnd w:id="112"/>
    <w:bookmarkEnd w:id="113"/>
    <w:bookmarkStart w:id="119" w:name="task-aliasing"/>
    <w:p>
      <w:pPr>
        <w:pStyle w:val="Heading1"/>
      </w:pPr>
      <w:r>
        <w:rPr>
          <w:rStyle w:val="SectionNumber"/>
        </w:rPr>
        <w:t xml:space="preserve">7</w:t>
      </w:r>
      <w:r>
        <w:tab/>
      </w:r>
      <w:r>
        <w:t xml:space="preserve">Task Aliasing</w:t>
      </w:r>
    </w:p>
    <w:p>
      <w:pPr>
        <w:pStyle w:val="FirstParagraph"/>
      </w:pPr>
      <w:r>
        <w:t xml:space="preserve">We’ve already gone over running a task multiple times in the context of scattered tasks. However, you may also want a task to run more than one time if that task is to run on multiple sets of inputs. In our case, we want to run a similar analysis on tumor samples and samples taken from normal tissue.</w:t>
      </w:r>
    </w:p>
    <w:p>
      <w:pPr>
        <w:pStyle w:val="BodyText"/>
      </w:pPr>
      <w:r>
        <w:t xml:space="preserve">WDL has a sophisticated feature that allows one to reuse the same task repeatedly through your workflow:</w:t>
      </w:r>
      <w:r>
        <w:t xml:space="preserve"> </w:t>
      </w:r>
      <w:r>
        <w:rPr>
          <w:bCs/>
          <w:b/>
        </w:rPr>
        <w:t xml:space="preserve">task aliasing</w:t>
      </w:r>
      <w:r>
        <w:t xml:space="preserve"> </w:t>
      </w:r>
      <w:r>
        <w:t xml:space="preserve">Simply put</w:t>
      </w:r>
      <w:r>
        <w:t xml:space="preserve"> </w:t>
      </w:r>
      <w:r>
        <w:rPr>
          <w:bCs/>
          <w:b/>
        </w:rPr>
        <w:t xml:space="preserve">task aliasing</w:t>
      </w:r>
      <w:r>
        <w:t xml:space="preserve"> </w:t>
      </w:r>
      <w:r>
        <w:t xml:space="preserve">allows for the re-use of task definitions within the same workflow under different names, or</w:t>
      </w:r>
      <w:r>
        <w:t xml:space="preserve"> </w:t>
      </w:r>
      <w:r>
        <w:t xml:space="preserve">“</w:t>
      </w:r>
      <w:r>
        <w:t xml:space="preserve">aliases</w:t>
      </w:r>
      <w:r>
        <w:t xml:space="preserve">”</w:t>
      </w:r>
      <w:r>
        <w:t xml:space="preserve">.</w:t>
      </w:r>
    </w:p>
    <w:bookmarkStart w:id="114" w:name="advantages-of-aliasing"/>
    <w:p>
      <w:pPr>
        <w:pStyle w:val="Heading2"/>
      </w:pPr>
      <w:r>
        <w:rPr>
          <w:rStyle w:val="SectionNumber"/>
        </w:rPr>
        <w:t xml:space="preserve">7.1</w:t>
      </w:r>
      <w:r>
        <w:tab/>
      </w:r>
      <w:r>
        <w:t xml:space="preserve">Advantages of aliasing</w:t>
      </w:r>
    </w:p>
    <w:p>
      <w:pPr>
        <w:pStyle w:val="FirstParagraph"/>
      </w:pPr>
      <w:r>
        <w:t xml:space="preserve">The major advantages of using task aliasing are:</w:t>
      </w:r>
    </w:p>
    <w:p>
      <w:pPr>
        <w:pStyle w:val="BodyText"/>
      </w:pPr>
      <w:r>
        <w:rPr>
          <w:bCs/>
          <w:b/>
        </w:rPr>
        <w:t xml:space="preserve">1. Reduces Redundancy</w:t>
      </w:r>
      <w:r>
        <w:t xml:space="preserve">: You don’t need to copy and paste the same task definition multiple times and your workflows will be more concise and organized.</w:t>
      </w:r>
    </w:p>
    <w:p>
      <w:pPr>
        <w:pStyle w:val="BodyText"/>
      </w:pPr>
      <w:r>
        <w:rPr>
          <w:bCs/>
          <w:b/>
        </w:rPr>
        <w:t xml:space="preserve">2. Simplifies Maintenance</w:t>
      </w:r>
      <w:r>
        <w:t xml:space="preserve"> </w:t>
      </w:r>
      <w:r>
        <w:t xml:space="preserve">: If you decide to change/update/fix a task, using task aliasing will make life easy as you need to update only once in your workflow.</w:t>
      </w:r>
    </w:p>
    <w:p>
      <w:pPr>
        <w:pStyle w:val="BodyText"/>
      </w:pPr>
      <w:r>
        <w:rPr>
          <w:bCs/>
          <w:b/>
        </w:rPr>
        <w:t xml:space="preserve">3. Enhances Readability and Clarity</w:t>
      </w:r>
      <w:r>
        <w:t xml:space="preserve">: A shorter workflow is easier to read but task aliasing also helps to contextualize the workflow ( for example are you doing this task for Sample set A or Sample set B)</w:t>
      </w:r>
    </w:p>
    <w:p>
      <w:pPr>
        <w:pStyle w:val="BodyText"/>
      </w:pPr>
      <w:r>
        <w:rPr>
          <w:bCs/>
          <w:b/>
        </w:rPr>
        <w:t xml:space="preserve">4. Facilitates Modular Workflow Design</w:t>
      </w:r>
      <w:r>
        <w:t xml:space="preserve">: Task aliasing help to make your workflow modular. This is easier to adopt by</w:t>
      </w:r>
    </w:p>
    <w:p>
      <w:pPr>
        <w:pStyle w:val="BodyText"/>
      </w:pPr>
      <w:r>
        <w:rPr>
          <w:bCs/>
          <w:b/>
        </w:rPr>
        <w:t xml:space="preserve">5. Improves Workflow Scalability</w:t>
      </w:r>
      <w:r>
        <w:t xml:space="preserve">: Using task aliasing it is much easier to scale the workflow across different inputs. For example you want to run a task on different sample groups (Sample set A and B) will allow the same task to be run parallely and if you choose with different modifications.</w:t>
      </w:r>
    </w:p>
    <w:p>
      <w:pPr>
        <w:pStyle w:val="BodyText"/>
      </w:pPr>
      <w:r>
        <w:rPr>
          <w:bCs/>
          <w:b/>
        </w:rPr>
        <w:t xml:space="preserve">6. Ensures Consistency</w:t>
      </w:r>
      <w:r>
        <w:t xml:space="preserve">: Task aliasing assures that there is consistency in replicated tasks and helps the reader easily identify where changes are expected in a task.</w:t>
      </w:r>
    </w:p>
    <w:bookmarkEnd w:id="114"/>
    <w:bookmarkStart w:id="115" w:name="start-to-add-a-task-alias"/>
    <w:p>
      <w:pPr>
        <w:pStyle w:val="Heading2"/>
      </w:pPr>
      <w:r>
        <w:rPr>
          <w:rStyle w:val="SectionNumber"/>
        </w:rPr>
        <w:t xml:space="preserve">7.2</w:t>
      </w:r>
      <w:r>
        <w:tab/>
      </w:r>
      <w:r>
        <w:t xml:space="preserve">Start to add a task alias</w:t>
      </w:r>
    </w:p>
    <w:p>
      <w:pPr>
        <w:pStyle w:val="FirstParagraph"/>
      </w:pPr>
      <w:r>
        <w:t xml:space="preserve">You can only alias a task that is already defined, so we will start with the BwaMem task rather than writing a new one.</w:t>
      </w:r>
    </w:p>
    <w:p>
      <w:pPr>
        <w:pStyle w:val="BlockText"/>
      </w:pPr>
      <w:r>
        <w:t xml:space="preserve">Note: In the real world, typically two samples would be processed from a patient: One tumor and one normal. However, we are writing a workflow that only takes in one normal sample and multiple tumor samples. This implies that we have taken multiple tumor samples from the same patient, and we’re comparing all of them against a single normal sample.</w:t>
      </w:r>
    </w:p>
    <w:p>
      <w:pPr>
        <w:pStyle w:val="FirstParagraph"/>
      </w:pPr>
      <w:r>
        <w:t xml:space="preserve">Here we are creating an alias for the task BwaMem. We want to do this so it can run this task on the</w:t>
      </w:r>
      <w:r>
        <w:t xml:space="preserve"> </w:t>
      </w:r>
      <w:r>
        <w:t xml:space="preserve">“</w:t>
      </w:r>
      <w:r>
        <w:t xml:space="preserve">normal</w:t>
      </w:r>
      <w:r>
        <w:t xml:space="preserve">”</w:t>
      </w:r>
      <w:r>
        <w:t xml:space="preserve"> </w:t>
      </w:r>
      <w:r>
        <w:t xml:space="preserve">samples and store them seperately.</w:t>
      </w:r>
    </w:p>
    <w:p>
      <w:pPr>
        <w:pStyle w:val="BodyText"/>
      </w:pPr>
      <w:r>
        <w:t xml:space="preserve">First, make sure that in your workflow input, you reference to the normal samples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normalSamples</w:t>
      </w:r>
      <w:r>
        <w:br/>
      </w:r>
      <w:r>
        <w:rPr>
          <w:rStyle w:val="VerbatimChar"/>
        </w:rPr>
        <w:t xml:space="preserve">...</w:t>
      </w:r>
      <w:r>
        <w:br/>
      </w:r>
      <w:r>
        <w:rPr>
          <w:rStyle w:val="VerbatimChar"/>
        </w:rPr>
        <w:t xml:space="preserve">  }</w:t>
      </w:r>
    </w:p>
    <w:p>
      <w:pPr>
        <w:pStyle w:val="FirstParagraph"/>
      </w:pPr>
      <w:r>
        <w:t xml:space="preserve">Next all that you need to do is</w:t>
      </w:r>
      <w:r>
        <w:t xml:space="preserve"> </w:t>
      </w:r>
      <w:r>
        <w:rPr>
          <w:rStyle w:val="VerbatimChar"/>
        </w:rPr>
        <w:t xml:space="preserve">call</w:t>
      </w:r>
      <w:r>
        <w:t xml:space="preserve"> </w:t>
      </w:r>
      <w:r>
        <w:t xml:space="preserve">the</w:t>
      </w:r>
      <w:r>
        <w:t xml:space="preserve"> </w:t>
      </w:r>
      <w:r>
        <w:rPr>
          <w:rStyle w:val="VerbatimChar"/>
        </w:rPr>
        <w:t xml:space="preserve">task</w:t>
      </w:r>
      <w:r>
        <w:t xml:space="preserve"> </w:t>
      </w:r>
      <w:r>
        <w:t xml:space="preserve">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w:t>
      </w:r>
    </w:p>
    <w:p>
      <w:pPr>
        <w:pStyle w:val="BodyText"/>
      </w:pPr>
      <w:r>
        <w:t xml:space="preserve">But don’t forget to make sure that all the inputs reflect actually different things we want to run this task on.</w:t>
      </w:r>
    </w:p>
    <w:p>
      <w:pPr>
        <w:pStyle w:val="BodyText"/>
      </w:pPr>
      <w:r>
        <w:t xml:space="preserve">In this case we will be using a different sample and therefore the input_fastq is directed to the appropriate file source.</w:t>
      </w:r>
    </w:p>
    <w:bookmarkEnd w:id="115"/>
    <w:bookmarkStart w:id="116" w:name="add-the-task-alias"/>
    <w:p>
      <w:pPr>
        <w:pStyle w:val="Heading2"/>
      </w:pPr>
      <w:r>
        <w:rPr>
          <w:rStyle w:val="SectionNumber"/>
        </w:rPr>
        <w:t xml:space="preserve">7.3</w:t>
      </w:r>
      <w:r>
        <w:tab/>
      </w:r>
      <w:r>
        <w:t xml:space="preserve">Add the task alias</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p>
    <w:bookmarkEnd w:id="116"/>
    <w:bookmarkStart w:id="117" w:name="modify-your-output"/>
    <w:p>
      <w:pPr>
        <w:pStyle w:val="Heading2"/>
      </w:pPr>
      <w:r>
        <w:rPr>
          <w:rStyle w:val="SectionNumber"/>
        </w:rPr>
        <w:t xml:space="preserve">7.4</w:t>
      </w:r>
      <w:r>
        <w:tab/>
      </w:r>
      <w:r>
        <w:t xml:space="preserve">Modify your output</w:t>
      </w:r>
    </w:p>
    <w:p>
      <w:pPr>
        <w:pStyle w:val="FirstParagraph"/>
      </w:pPr>
      <w:r>
        <w:t xml:space="preserve">And finally you will also want to make sure that in your outputs section you are saving the appropriate outputs to reflect the task alias.</w:t>
      </w:r>
    </w:p>
    <w:p>
      <w:pPr>
        <w:pStyle w:val="SourceCode"/>
      </w:pPr>
      <w:r>
        <w:rPr>
          <w:rStyle w:val="VerbatimChar"/>
        </w:rPr>
        <w:t xml:space="preserve">output {</w:t>
      </w:r>
      <w:r>
        <w:br/>
      </w:r>
      <w:r>
        <w:rPr>
          <w:rStyle w:val="VerbatimChar"/>
        </w:rPr>
        <w:t xml:space="preserve">File normalalignedBamSorted = normalBwaMem.analysisReadySorted</w:t>
      </w:r>
      <w:r>
        <w:br/>
      </w:r>
      <w:r>
        <w:rPr>
          <w:rStyle w:val="VerbatimChar"/>
        </w:rPr>
        <w:t xml:space="preserve">}</w:t>
      </w:r>
    </w:p>
    <w:bookmarkEnd w:id="117"/>
    <w:bookmarkStart w:id="118" w:name="alias-for-other-tasks"/>
    <w:p>
      <w:pPr>
        <w:pStyle w:val="Heading2"/>
      </w:pPr>
      <w:r>
        <w:rPr>
          <w:rStyle w:val="SectionNumber"/>
        </w:rPr>
        <w:t xml:space="preserve">7.5</w:t>
      </w:r>
      <w:r>
        <w:tab/>
      </w:r>
      <w:r>
        <w:t xml:space="preserve">Alias for other tasks</w:t>
      </w:r>
    </w:p>
    <w:p>
      <w:pPr>
        <w:pStyle w:val="FirstParagraph"/>
      </w:pPr>
      <w:r>
        <w:t xml:space="preserve">We can do this for the other two tasks in our workflow as well</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Now adding these steps to the workflow we will have our tumor and normal sample aligned and recalibrated and suitable for ingestion into the mutation calling step for a paired mutation calling using MuTect2.</w:t>
      </w:r>
    </w:p>
    <w:p>
      <w:pPr>
        <w:pStyle w:val="SourceCode"/>
      </w:pPr>
      <w:r>
        <w:br/>
      </w:r>
      <w:r>
        <w:rPr>
          <w:rStyle w:val="VerbatimChar"/>
        </w:rPr>
        <w:t xml:space="preserve"># The full workflow with task alias</w:t>
      </w:r>
      <w:r>
        <w:br/>
      </w:r>
      <w:r>
        <w:br/>
      </w: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             ##pass in our struct</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Do for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normalSamples,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rPr>
          <w:rStyle w:val="VerbatimChar"/>
        </w:rPr>
        <w:t xml:space="preserve">}</w:t>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         ## Our struct as input</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  ##refer to ref_fasta here in struct</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         ## Use struct as input for task</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Mutect 2 calling tumor-normal</w:t>
      </w:r>
      <w:r>
        <w:br/>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           # our struct as input</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base_file_name_normal = basename(normal_bam,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br/>
      </w:r>
      <w:r>
        <w:rPr>
          <w:rStyle w:val="VerbatimChar"/>
        </w:rPr>
        <w:t xml:space="preserve">&gt;&gt;&gt;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with annovar mutation calling outputs</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8"/>
    <w:bookmarkEnd w:id="119"/>
    <w:bookmarkStart w:id="141" w:name="appendix-backends-and-executors"/>
    <w:p>
      <w:pPr>
        <w:pStyle w:val="Heading1"/>
      </w:pPr>
      <w:r>
        <w:rPr>
          <w:rStyle w:val="SectionNumber"/>
        </w:rPr>
        <w:t xml:space="preserve">8</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20" w:name="commonly-used-runtime-attributes"/>
    <w:p>
      <w:pPr>
        <w:pStyle w:val="Heading2"/>
      </w:pPr>
      <w:r>
        <w:rPr>
          <w:rStyle w:val="SectionNumber"/>
        </w:rPr>
        <w:t xml:space="preserve">8.1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20"/>
    <w:bookmarkStart w:id="121" w:name="general-advice"/>
    <w:p>
      <w:pPr>
        <w:pStyle w:val="Heading2"/>
      </w:pPr>
      <w:r>
        <w:rPr>
          <w:rStyle w:val="SectionNumber"/>
        </w:rPr>
        <w:t xml:space="preserve">8.2</w:t>
      </w:r>
      <w:r>
        <w:tab/>
      </w:r>
      <w:r>
        <w:t xml:space="preserve">General advice</w:t>
      </w:r>
    </w:p>
    <w:p>
      <w:pPr>
        <w:numPr>
          <w:ilvl w:val="0"/>
          <w:numId w:val="1012"/>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2"/>
        </w:numPr>
        <w:pStyle w:val="Compact"/>
      </w:pPr>
      <w:r>
        <w:t xml:space="preserve">The Dockstore CLI, as of v1.15, uses Cromwell to run WDLs. Advice about Cromwell will therefore also apply to the Dockstore CLI.</w:t>
      </w:r>
    </w:p>
    <w:p>
      <w:pPr>
        <w:numPr>
          <w:ilvl w:val="0"/>
          <w:numId w:val="1012"/>
        </w:numPr>
        <w:pStyle w:val="Compact"/>
      </w:pPr>
      <w:r>
        <w:t xml:space="preserve">If running a workflow with a scattered task on a local compute, consider using miniwdl instead of Cromwell.</w:t>
      </w:r>
    </w:p>
    <w:p>
      <w:pPr>
        <w:numPr>
          <w:ilvl w:val="0"/>
          <w:numId w:val="1012"/>
        </w:numPr>
        <w:pStyle w:val="Compact"/>
      </w:pPr>
      <w:r>
        <w:t xml:space="preserve">Whether you are using miniwdl or Cromwell locally, make sure Docker has enough resources to be able to download and run the Docker images specified in your WDL tasks.</w:t>
      </w:r>
    </w:p>
    <w:p>
      <w:pPr>
        <w:numPr>
          <w:ilvl w:val="0"/>
          <w:numId w:val="1012"/>
        </w:numPr>
        <w:pStyle w:val="Compact"/>
      </w:pPr>
      <w:r>
        <w:t xml:space="preserve">Workflow systems with a UI like Terra may become unresponsive if you run a task scattered more than 1000x. Outputs may need to be interacted with using an API specific to that backend.</w:t>
      </w:r>
    </w:p>
    <w:bookmarkEnd w:id="121"/>
    <w:bookmarkStart w:id="128" w:name="executor-specific-notes"/>
    <w:p>
      <w:pPr>
        <w:pStyle w:val="Heading2"/>
      </w:pPr>
      <w:r>
        <w:rPr>
          <w:rStyle w:val="SectionNumber"/>
        </w:rPr>
        <w:t xml:space="preserve">8.3</w:t>
      </w:r>
      <w:r>
        <w:tab/>
      </w:r>
      <w:r>
        <w:t xml:space="preserve">Executor-specific notes</w:t>
      </w:r>
    </w:p>
    <w:bookmarkStart w:id="125" w:name="cromwell"/>
    <w:p>
      <w:pPr>
        <w:pStyle w:val="Heading3"/>
      </w:pPr>
      <w:r>
        <w:rPr>
          <w:rStyle w:val="SectionNumber"/>
        </w:rPr>
        <w:t xml:space="preserve">8.3.1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22">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23">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3"/>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3"/>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3"/>
        </w:numPr>
      </w:pPr>
      <w:r>
        <w:t xml:space="preserve">Cromwell does not use call caching on most backends, but it is the default on Terra. For non-Terra backends, it can be enabled in the Cromwell configuration file.</w:t>
      </w:r>
    </w:p>
    <w:p>
      <w:pPr>
        <w:numPr>
          <w:ilvl w:val="0"/>
          <w:numId w:val="1013"/>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3"/>
        </w:numPr>
      </w:pPr>
      <w:r>
        <w:t xml:space="preserve">Generally speaking, Cromwell will be able to directly modify input files by default without causing permission errors, unlike miniwdl.</w:t>
      </w:r>
    </w:p>
    <w:p>
      <w:pPr>
        <w:numPr>
          <w:ilvl w:val="0"/>
          <w:numId w:val="1013"/>
        </w:numPr>
      </w:pPr>
      <w:r>
        <w:t xml:space="preserve">Cromwell uses a system known as</w:t>
      </w:r>
      <w:r>
        <w:t xml:space="preserve"> </w:t>
      </w:r>
      <w:hyperlink r:id="rId124">
        <w:r>
          <w:rPr>
            <w:rStyle w:val="Hyperlink"/>
          </w:rPr>
          <w:t xml:space="preserve">hog factors</w:t>
        </w:r>
      </w:hyperlink>
      <w:r>
        <w:t xml:space="preserve"> </w:t>
      </w:r>
      <w:r>
        <w:t xml:space="preserve">to adjust how task order is prioritized.</w:t>
      </w:r>
    </w:p>
    <w:bookmarkEnd w:id="125"/>
    <w:bookmarkStart w:id="127" w:name="miniwdl"/>
    <w:p>
      <w:pPr>
        <w:pStyle w:val="Heading3"/>
      </w:pPr>
      <w:r>
        <w:rPr>
          <w:rStyle w:val="SectionNumber"/>
        </w:rPr>
        <w:t xml:space="preserve">8.3.2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26">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4"/>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4"/>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4"/>
        </w:numPr>
      </w:pPr>
      <w:r>
        <w:t xml:space="preserve">miniwdl supports call caching, but it is turned off by default.</w:t>
      </w:r>
    </w:p>
    <w:p>
      <w:pPr>
        <w:numPr>
          <w:ilvl w:val="0"/>
          <w:numId w:val="1014"/>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4"/>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27"/>
    <w:bookmarkEnd w:id="128"/>
    <w:bookmarkStart w:id="140" w:name="backend-specific-notes"/>
    <w:p>
      <w:pPr>
        <w:pStyle w:val="Heading2"/>
      </w:pPr>
      <w:r>
        <w:rPr>
          <w:rStyle w:val="SectionNumber"/>
        </w:rPr>
        <w:t xml:space="preserve">8.4</w:t>
      </w:r>
      <w:r>
        <w:tab/>
      </w:r>
      <w:r>
        <w:t xml:space="preserve">Backend-specific notes</w:t>
      </w:r>
    </w:p>
    <w:bookmarkStart w:id="136" w:name="hpcs"/>
    <w:p>
      <w:pPr>
        <w:pStyle w:val="Heading3"/>
      </w:pPr>
      <w:r>
        <w:rPr>
          <w:rStyle w:val="SectionNumber"/>
        </w:rPr>
        <w:t xml:space="preserve">8.4.1</w:t>
      </w:r>
      <w:r>
        <w:tab/>
      </w:r>
      <w:r>
        <w:t xml:space="preserve">HPCs</w:t>
      </w:r>
    </w:p>
    <w:p>
      <w:pPr>
        <w:pStyle w:val="FirstParagraph"/>
      </w:pPr>
      <w:r>
        <w:t xml:space="preserve">It is difficult to provide specific advice on HPCs, as they can vary greatly. Some general notes:</w:t>
      </w:r>
    </w:p>
    <w:p>
      <w:pPr>
        <w:numPr>
          <w:ilvl w:val="0"/>
          <w:numId w:val="1015"/>
        </w:numPr>
      </w:pPr>
      <w:r>
        <w:t xml:space="preserve">Some HPCs do not support the use of Docker due to security concerns</w:t>
      </w:r>
    </w:p>
    <w:p>
      <w:pPr>
        <w:numPr>
          <w:ilvl w:val="1"/>
          <w:numId w:val="1016"/>
        </w:numPr>
        <w:pStyle w:val="Compact"/>
      </w:pPr>
      <w:r>
        <w:t xml:space="preserve">HPCs that do not allow the use of Docker may be able to run WDLs using alternative container technologies such as podman or rootless Docker</w:t>
      </w:r>
    </w:p>
    <w:p>
      <w:pPr>
        <w:numPr>
          <w:ilvl w:val="0"/>
          <w:numId w:val="1015"/>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35" w:name="fred-hutch-hpc"/>
    <w:p>
      <w:pPr>
        <w:pStyle w:val="Heading4"/>
      </w:pPr>
      <w:r>
        <w:rPr>
          <w:rStyle w:val="SectionNumber"/>
        </w:rPr>
        <w:t xml:space="preserve">8.4.1.1</w:t>
      </w:r>
      <w:r>
        <w:tab/>
      </w:r>
      <w:r>
        <w:t xml:space="preserve">Fred Hutch HPC</w:t>
      </w:r>
    </w:p>
    <w:p>
      <w:pPr>
        <w:numPr>
          <w:ilvl w:val="0"/>
          <w:numId w:val="1017"/>
        </w:numPr>
      </w:pPr>
      <w:hyperlink r:id="rId129">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30">
        <w:r>
          <w:rPr>
            <w:rStyle w:val="Hyperlink"/>
          </w:rPr>
          <w:t xml:space="preserve">here</w:t>
        </w:r>
      </w:hyperlink>
      <w:r>
        <w:t xml:space="preserve">.</w:t>
      </w:r>
    </w:p>
    <w:p>
      <w:pPr>
        <w:numPr>
          <w:ilvl w:val="0"/>
          <w:numId w:val="1017"/>
        </w:numPr>
      </w:pPr>
      <w:r>
        <w:t xml:space="preserve">The Fred Hutch HPC supports the use of multiple JSON files going into the same workflow</w:t>
      </w:r>
    </w:p>
    <w:p>
      <w:pPr>
        <w:numPr>
          <w:ilvl w:val="0"/>
          <w:numId w:val="1017"/>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7"/>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31">
        <w:r>
          <w:rPr>
            <w:rStyle w:val="Hyperlink"/>
          </w:rPr>
          <w:t xml:space="preserve">some information</w:t>
        </w:r>
      </w:hyperlink>
      <w:r>
        <w:t xml:space="preserve"> </w:t>
      </w:r>
      <w:r>
        <w:t xml:space="preserve">on approximating memory use.</w:t>
      </w:r>
    </w:p>
    <w:p>
      <w:pPr>
        <w:numPr>
          <w:ilvl w:val="0"/>
          <w:numId w:val="1017"/>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32">
        <w:r>
          <w:rPr>
            <w:rStyle w:val="Hyperlink"/>
          </w:rPr>
          <w:t xml:space="preserve">here</w:t>
        </w:r>
      </w:hyperlink>
      <w:r>
        <w:t xml:space="preserve">.</w:t>
      </w:r>
    </w:p>
    <w:p>
      <w:pPr>
        <w:numPr>
          <w:ilvl w:val="0"/>
          <w:numId w:val="1017"/>
        </w:numPr>
      </w:pPr>
      <w:r>
        <w:rPr>
          <w:rStyle w:val="VerbatimChar"/>
        </w:rPr>
        <w:t xml:space="preserve">partition</w:t>
      </w:r>
      <w:r>
        <w:t xml:space="preserve"> </w:t>
      </w:r>
      <w:r>
        <w:t xml:space="preserve">attribute specifies the</w:t>
      </w:r>
      <w:r>
        <w:t xml:space="preserve"> </w:t>
      </w:r>
      <w:hyperlink r:id="rId133">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7"/>
        </w:numPr>
      </w:pPr>
      <w:r>
        <w:rPr>
          <w:rStyle w:val="VerbatimChar"/>
        </w:rPr>
        <w:t xml:space="preserve">modules</w:t>
      </w:r>
      <w:r>
        <w:t xml:space="preserve"> </w:t>
      </w:r>
      <w:r>
        <w:t xml:space="preserve">attribute is a a space-separated list of the</w:t>
      </w:r>
      <w:r>
        <w:t xml:space="preserve"> </w:t>
      </w:r>
      <w:hyperlink r:id="rId134">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7"/>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35"/>
    <w:bookmarkEnd w:id="136"/>
    <w:bookmarkStart w:id="139" w:name="gcpterra"/>
    <w:p>
      <w:pPr>
        <w:pStyle w:val="Heading3"/>
      </w:pPr>
      <w:r>
        <w:rPr>
          <w:rStyle w:val="SectionNumber"/>
        </w:rPr>
        <w:t xml:space="preserve">8.4.2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compatiability on this backend.</w:t>
      </w:r>
    </w:p>
    <w:bookmarkStart w:id="137" w:name="preemptibles"/>
    <w:p>
      <w:pPr>
        <w:pStyle w:val="Heading4"/>
      </w:pPr>
      <w:r>
        <w:rPr>
          <w:rStyle w:val="SectionNumber"/>
        </w:rPr>
        <w:t xml:space="preserve">8.4.2.1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37"/>
    <w:bookmarkStart w:id="138" w:name="disk-space"/>
    <w:p>
      <w:pPr>
        <w:pStyle w:val="Heading4"/>
      </w:pPr>
      <w:r>
        <w:rPr>
          <w:rStyle w:val="SectionNumber"/>
        </w:rPr>
        <w:t xml:space="preserve">8.4.2.2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8"/>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8"/>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8"/>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bookmarkEnd w:id="138"/>
    <w:bookmarkEnd w:id="139"/>
    <w:bookmarkEnd w:id="140"/>
    <w:bookmarkEnd w:id="141"/>
    <w:bookmarkStart w:id="148" w:name="about-the-authors"/>
    <w:p>
      <w:pPr>
        <w:pStyle w:val="Heading1"/>
      </w:pPr>
      <w:r>
        <w:t xml:space="preserve">About the Authors</w:t>
      </w:r>
    </w:p>
    <w:p>
      <w:pPr>
        <w:pStyle w:val="FirstParagraph"/>
      </w:pPr>
      <w:r>
        <w:t xml:space="preserve">These credits are based on our</w:t>
      </w:r>
      <w:r>
        <w:t xml:space="preserve"> </w:t>
      </w:r>
      <w:hyperlink r:id="rId14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43">
              <w:r>
                <w:rPr>
                  <w:rStyle w:val="Hyperlink"/>
                </w:rPr>
                <w:t xml:space="preserve">Candace Savonen</w:t>
              </w:r>
            </w:hyperlink>
            <w:r>
              <w:t xml:space="preserve">,</w:t>
            </w:r>
            <w:r>
              <w:t xml:space="preserve"> </w:t>
            </w:r>
            <w:hyperlink r:id="rId144">
              <w:r>
                <w:rPr>
                  <w:rStyle w:val="Hyperlink"/>
                </w:rPr>
                <w:t xml:space="preserve">Carrie Wright</w:t>
              </w:r>
            </w:hyperlink>
            <w:r>
              <w:t xml:space="preserve">,</w:t>
            </w:r>
            <w:r>
              <w:t xml:space="preserve"> </w:t>
            </w:r>
            <w:hyperlink r:id="rId14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4">
              <w:r>
                <w:rPr>
                  <w:rStyle w:val="Hyperlink"/>
                </w:rPr>
                <w:t xml:space="preserve">Carrie Wright</w:t>
              </w:r>
            </w:hyperlink>
            <w:r>
              <w:t xml:space="preserve">,</w:t>
            </w:r>
            <w:r>
              <w:t xml:space="preserve"> </w:t>
            </w:r>
            <w:hyperlink r:id="rId145">
              <w:r>
                <w:rPr>
                  <w:rStyle w:val="Hyperlink"/>
                </w:rPr>
                <w:t xml:space="preserve">Ava Hoffman</w:t>
              </w:r>
            </w:hyperlink>
            <w:r>
              <w:t xml:space="preserve">,</w:t>
            </w:r>
            <w:r>
              <w:t xml:space="preserve"> </w:t>
            </w:r>
            <w:hyperlink r:id="rId143">
              <w:r>
                <w:rPr>
                  <w:rStyle w:val="Hyperlink"/>
                </w:rPr>
                <w:t xml:space="preserve">Candace Savonen</w:t>
              </w:r>
            </w:hyperlink>
          </w:p>
        </w:tc>
      </w:tr>
      <w:tr>
        <w:tc>
          <w:tcPr/>
          <w:p>
            <w:pPr>
              <w:pStyle w:val="Compact"/>
              <w:jc w:val="left"/>
            </w:pPr>
            <w:r>
              <w:t xml:space="preserve">Package Developers (</w:t>
            </w:r>
            <w:hyperlink r:id="rId146">
              <w:r>
                <w:rPr>
                  <w:rStyle w:val="Hyperlink"/>
                </w:rPr>
                <w:t xml:space="preserve">ottrpal</w:t>
              </w:r>
            </w:hyperlink>
            <w:r>
              <w:t xml:space="preserve">)</w:t>
            </w:r>
            <w:r>
              <w:t xml:space="preserve"> </w:t>
            </w:r>
            <w:hyperlink r:id="rId143">
              <w:r>
                <w:rPr>
                  <w:rStyle w:val="Hyperlink"/>
                </w:rPr>
                <w:t xml:space="preserve">Candace Savonen</w:t>
              </w:r>
            </w:hyperlink>
            <w:r>
              <w:t xml:space="preserve">,</w:t>
            </w:r>
            <w:r>
              <w:t xml:space="preserve"> </w:t>
            </w:r>
            <w:hyperlink r:id="rId147">
              <w:r>
                <w:rPr>
                  <w:rStyle w:val="Hyperlink"/>
                </w:rPr>
                <w:t xml:space="preserve">John Muschelli</w:t>
              </w:r>
            </w:hyperlink>
            <w:r>
              <w:t xml:space="preserve">,</w:t>
            </w:r>
            <w:r>
              <w:t xml:space="preserve"> </w:t>
            </w:r>
            <w:hyperlink r:id="rId144">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2024-04-01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48"/>
    <w:bookmarkStart w:id="149" w:name="references"/>
    <w:p>
      <w:pPr>
        <w:pStyle w:val="Heading1"/>
      </w:pPr>
      <w:r>
        <w:rPr>
          <w:rStyle w:val="SectionNumber"/>
        </w:rPr>
        <w:t xml:space="preserve">9</w:t>
      </w:r>
      <w:r>
        <w:tab/>
      </w:r>
      <w:r>
        <w:t xml:space="preserve">References</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54" Target="assets/WDL_101_Course.png" TargetMode="External" /><Relationship Type="http://schemas.openxmlformats.org/officeDocument/2006/relationships/hyperlink" Id="rId144"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24"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3"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2"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26"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46"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47"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29"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3" Target="https://sciwiki.fredhutch.org/compdemos/gizmo_partition_index/" TargetMode="External" /><Relationship Type="http://schemas.openxmlformats.org/officeDocument/2006/relationships/hyperlink" Id="rId130" Target="https://sciwiki.fredhutch.org/dasldemos/proof-how-to/" TargetMode="External" /><Relationship Type="http://schemas.openxmlformats.org/officeDocument/2006/relationships/hyperlink" Id="rId134" Target="https://sciwiki.fredhutch.org/scicomputing/compute_environments/" TargetMode="External" /><Relationship Type="http://schemas.openxmlformats.org/officeDocument/2006/relationships/hyperlink" Id="rId131" Target="https://sciwiki.fredhutch.org/scicomputing/compute_jobs/#memory" TargetMode="External" /><Relationship Type="http://schemas.openxmlformats.org/officeDocument/2006/relationships/hyperlink" Id="rId132"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2"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4" Target="assets/WDL_101_Course.png" TargetMode="External" /><Relationship Type="http://schemas.openxmlformats.org/officeDocument/2006/relationships/hyperlink" Id="rId144"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24" Target="https://cromwell.readthedocs.io/en/stable/cromwell_features/HogFactors/" TargetMode="External" /><Relationship Type="http://schemas.openxmlformats.org/officeDocument/2006/relationships/hyperlink" Id="rId85" Target="https://data.broadinstitute.org/snowman/hg19/" TargetMode="External" /><Relationship Type="http://schemas.openxmlformats.org/officeDocument/2006/relationships/hyperlink" Id="rId78" Target="https://docker-curriculum.com/#introduction" TargetMode="External" /><Relationship Type="http://schemas.openxmlformats.org/officeDocument/2006/relationships/hyperlink" Id="rId77"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23"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88" Target="https://docs.openwdl.org/en/latest/WDL/Linear_chaining/" TargetMode="External" /><Relationship Type="http://schemas.openxmlformats.org/officeDocument/2006/relationships/hyperlink" Id="rId89"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0" Target="https://docs.openwdl.org/en/stable/WDL/basename/" TargetMode="External" /><Relationship Type="http://schemas.openxmlformats.org/officeDocument/2006/relationships/hyperlink" Id="rId100"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08" Target="https://en.wikipedia.org/wiki/For_loop" TargetMode="External" /><Relationship Type="http://schemas.openxmlformats.org/officeDocument/2006/relationships/hyperlink" Id="rId104" Target="https://en.wikipedia.org/wiki/Immutable_object" TargetMode="External" /><Relationship Type="http://schemas.openxmlformats.org/officeDocument/2006/relationships/hyperlink" Id="rId103" Target="https://en.wikipedia.org/wiki/Primitive_data_type" TargetMode="External" /><Relationship Type="http://schemas.openxmlformats.org/officeDocument/2006/relationships/hyperlink" Id="rId95" Target="https://gatk.broadinstitute.org/hc/en-us/articles/360051306171-MarkDuplicates-Picard" TargetMode="External" /><Relationship Type="http://schemas.openxmlformats.org/officeDocument/2006/relationships/hyperlink" Id="rId69" Target="https://github.com/brentp/goleft/blob/fa6b00d20d1f73a068ffbab49a5769d173cae56d/covstats/covstats.go#L239" TargetMode="External" /><Relationship Type="http://schemas.openxmlformats.org/officeDocument/2006/relationships/hyperlink" Id="rId68" Target="https://github.com/brentp/goleft/tree/master/covstats" TargetMode="External" /><Relationship Type="http://schemas.openxmlformats.org/officeDocument/2006/relationships/hyperlink" Id="rId122"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26"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84" Target="https://github.com/fhdsl/WDL-sandbox/tree/main/data" TargetMode="External" /><Relationship Type="http://schemas.openxmlformats.org/officeDocument/2006/relationships/hyperlink" Id="rId146"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4" Target="https://github.com/openwdl/wdl/blob/main/versions/1.0/SPEC.md#runtime-section" TargetMode="External" /><Relationship Type="http://schemas.openxmlformats.org/officeDocument/2006/relationships/hyperlink" Id="rId101" Target="https://github.com/openwdl/wdl/blob/main/versions/1.0/SPEC.md#struct-definition" TargetMode="External" /><Relationship Type="http://schemas.openxmlformats.org/officeDocument/2006/relationships/hyperlink" Id="rId110" Target="https://github.com/openwdl/wdl/blob/main/versions/1.1/SPEC.md#-expression-placeholder-options" TargetMode="External" /><Relationship Type="http://schemas.openxmlformats.org/officeDocument/2006/relationships/hyperlink" Id="rId75" Target="https://github.com/openwdl/wdl/blob/main/versions/1.1/SPEC.md#runtime-section" TargetMode="External" /><Relationship Type="http://schemas.openxmlformats.org/officeDocument/2006/relationships/hyperlink" Id="rId76" Target="https://hub.docker.com/search?q=" TargetMode="External" /><Relationship Type="http://schemas.openxmlformats.org/officeDocument/2006/relationships/hyperlink" Id="rId147"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129" Target="https://proof.fredhutch.org/" TargetMode="External" /><Relationship Type="http://schemas.openxmlformats.org/officeDocument/2006/relationships/hyperlink" Id="rId58" Target="https://pubmed.ncbi.nlm.nih.gov/31068700/" TargetMode="External" /><Relationship Type="http://schemas.openxmlformats.org/officeDocument/2006/relationships/hyperlink" Id="rId133" Target="https://sciwiki.fredhutch.org/compdemos/gizmo_partition_index/" TargetMode="External" /><Relationship Type="http://schemas.openxmlformats.org/officeDocument/2006/relationships/hyperlink" Id="rId130" Target="https://sciwiki.fredhutch.org/dasldemos/proof-how-to/" TargetMode="External" /><Relationship Type="http://schemas.openxmlformats.org/officeDocument/2006/relationships/hyperlink" Id="rId134" Target="https://sciwiki.fredhutch.org/scicomputing/compute_environments/" TargetMode="External" /><Relationship Type="http://schemas.openxmlformats.org/officeDocument/2006/relationships/hyperlink" Id="rId131" Target="https://sciwiki.fredhutch.org/scicomputing/compute_jobs/#memory" TargetMode="External" /><Relationship Type="http://schemas.openxmlformats.org/officeDocument/2006/relationships/hyperlink" Id="rId132" Target="https://sciwiki.fredhutch.org/scicomputing/compute_jobs/#wall-time" TargetMode="External" /><Relationship Type="http://schemas.openxmlformats.org/officeDocument/2006/relationships/hyperlink" Id="rId65" Target="https://tldp.org/LDP/abs/html/intandnonint.html" TargetMode="External" /><Relationship Type="http://schemas.openxmlformats.org/officeDocument/2006/relationships/hyperlink" Id="rId56" Target="https://www.atlassian.com/continuous-delivery/software-testing"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67" Target="https://www.ibm.com/docs/en/zos/3.1.0?topic=directories-working-directory" TargetMode="External" /><Relationship Type="http://schemas.openxmlformats.org/officeDocument/2006/relationships/hyperlink" Id="rId142"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2024-04-01T18:04:13Z</dcterms:created>
  <dcterms:modified xsi:type="dcterms:W3CDTF">2024-04-01T18:04:13Z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