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5"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4"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2">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3">
        <w:r>
          <w:rPr>
            <w:rStyle w:val="Hyperlink"/>
          </w:rPr>
          <w:t xml:space="preserve">downloaded from the Broad Institute’s mirror</w:t>
        </w:r>
      </w:hyperlink>
      <w:r>
        <w:t xml:space="preserve">.</w:t>
      </w:r>
    </w:p>
    <w:bookmarkEnd w:id="84"/>
    <w:bookmarkEnd w:id="85"/>
    <w:bookmarkStart w:id="97"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8"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6">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7">
        <w:r>
          <w:rPr>
            <w:rStyle w:val="Hyperlink"/>
          </w:rPr>
          <w:t xml:space="preserve">OpenWDL Docs</w:t>
        </w:r>
      </w:hyperlink>
      <w:r>
        <w:t xml:space="preserve">’s section on workflow plumbing.</w:t>
      </w:r>
    </w:p>
    <w:bookmarkEnd w:id="88"/>
    <w:bookmarkStart w:id="95"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9"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9"/>
    <w:bookmarkStart w:id="90"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0"/>
    <w:bookmarkStart w:id="91"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1"/>
    <w:bookmarkStart w:id="92"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2"/>
    <w:bookmarkStart w:id="94"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3">
        <w:r>
          <w:rPr>
            <w:rStyle w:val="Hyperlink"/>
          </w:rPr>
          <w:t xml:space="preserve">PCR duplicate flag in reads</w:t>
        </w:r>
      </w:hyperlink>
      <w:r>
        <w:t xml:space="preserve">, which has a decimal value of 1024 in the SAM Flags Field.</w:t>
      </w:r>
    </w:p>
    <w:bookmarkEnd w:id="94"/>
    <w:bookmarkEnd w:id="95"/>
    <w:bookmarkStart w:id="96"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6"/>
    <w:bookmarkEnd w:id="97"/>
    <w:bookmarkStart w:id="100"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8">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9">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0"/>
    <w:bookmarkStart w:id="111"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09"/>
        </w:numPr>
      </w:pPr>
      <w:r>
        <w:t xml:space="preserve">How to use scattered tasks to run a workflow on multiple samples at once</w:t>
      </w:r>
    </w:p>
    <w:p>
      <w:pPr>
        <w:numPr>
          <w:ilvl w:val="0"/>
          <w:numId w:val="1009"/>
        </w:numPr>
      </w:pPr>
      <w:r>
        <w:t xml:space="preserve">How to use arrays effectively</w:t>
      </w:r>
    </w:p>
    <w:p>
      <w:pPr>
        <w:numPr>
          <w:ilvl w:val="0"/>
          <w:numId w:val="1009"/>
        </w:numPr>
      </w:pPr>
      <w:r>
        <w:t xml:space="preserve">How to reference arrays in a task’s command section</w:t>
      </w:r>
    </w:p>
    <w:p>
      <w:pPr>
        <w:numPr>
          <w:ilvl w:val="0"/>
          <w:numId w:val="1009"/>
        </w:numPr>
      </w:pPr>
      <w:r>
        <w:t xml:space="preserve">How arrays differ from Structs</w:t>
      </w:r>
    </w:p>
    <w:bookmarkStart w:id="103"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1">
        <w:r>
          <w:rPr>
            <w:rStyle w:val="Hyperlink"/>
          </w:rPr>
          <w:t xml:space="preserve">primitive type</w:t>
        </w:r>
      </w:hyperlink>
      <w:r>
        <w:t xml:space="preserve">. It is most common to see Array[File] in WDLs, but an array can contain integers, floats, strings, and the like. An array can only have one of a given primative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2">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2">
        <w:r>
          <w:rPr>
            <w:rStyle w:val="Hyperlink"/>
          </w:rPr>
          <w:t xml:space="preserve">immutable</w:t>
        </w:r>
      </w:hyperlink>
      <w:r>
        <w:t xml:space="preserve">, if you wish to add values to an array, you will need to define a new array.</w:t>
      </w:r>
    </w:p>
    <w:bookmarkEnd w:id="103"/>
    <w:bookmarkStart w:id="105"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4"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4"/>
    <w:bookmarkEnd w:id="105"/>
    <w:bookmarkStart w:id="108"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6">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w:t>
      </w:r>
      <w:r>
        <w:t xml:space="preserve"> </w:t>
      </w:r>
      <w:hyperlink r:id="rId107">
        <w:r>
          <w:rPr>
            <w:rStyle w:val="Hyperlink"/>
          </w:rPr>
          <w:t xml:space="preserve">here</w:t>
        </w:r>
      </w:hyperlink>
      <w:r>
        <w:t xml:space="preserve">.</w:t>
      </w:r>
    </w:p>
    <w:bookmarkEnd w:id="108"/>
    <w:bookmarkStart w:id="110"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9">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0"/>
    <w:bookmarkEnd w:id="111"/>
    <w:bookmarkStart w:id="117"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2"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2"/>
    <w:bookmarkStart w:id="113"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3"/>
    <w:bookmarkStart w:id="114"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4"/>
    <w:bookmarkStart w:id="115"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5"/>
    <w:bookmarkStart w:id="116"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6"/>
    <w:bookmarkEnd w:id="117"/>
    <w:bookmarkStart w:id="130" w:name="appendix-backends-and-executors"/>
    <w:p>
      <w:pPr>
        <w:pStyle w:val="Heading1"/>
      </w:pPr>
      <w:r>
        <w:rPr>
          <w:rStyle w:val="SectionNumber"/>
        </w:rPr>
        <w:t xml:space="preserve">8</w:t>
      </w:r>
      <w:r>
        <w:tab/>
      </w:r>
      <w:r>
        <w:t xml:space="preserve">Appendix: Backends and Executors</w:t>
      </w:r>
    </w:p>
    <w:p>
      <w:pPr>
        <w:pStyle w:val="FirstParagraph"/>
      </w:pPr>
      <w:r>
        <w:t xml:space="preserve">Generally speaking, WDL workflows are quite portable thanks to their usage of Docker images to maintain software depenendencies. However, the executor used to run WDLs and what backend they are being run upon can lead to specific scenarios where minor tweaks to your WDL are necessary to ensure portability.</w:t>
      </w:r>
    </w:p>
    <w:bookmarkStart w:id="119" w:name="commonly-used-runtime-attributes"/>
    <w:p>
      <w:pPr>
        <w:pStyle w:val="Heading2"/>
      </w:pPr>
      <w:r>
        <w:rPr>
          <w:rStyle w:val="SectionNumber"/>
        </w:rPr>
        <w:t xml:space="preserve">8.1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8">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19"/>
    <w:bookmarkStart w:id="120" w:name="general-advice"/>
    <w:p>
      <w:pPr>
        <w:pStyle w:val="Heading2"/>
      </w:pPr>
      <w:r>
        <w:rPr>
          <w:rStyle w:val="SectionNumber"/>
        </w:rPr>
        <w:t xml:space="preserve">8.2</w:t>
      </w:r>
      <w:r>
        <w:tab/>
      </w:r>
      <w:r>
        <w:t xml:space="preserve">General advice</w:t>
      </w:r>
    </w:p>
    <w:p>
      <w:pPr>
        <w:numPr>
          <w:ilvl w:val="0"/>
          <w:numId w:val="1010"/>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0"/>
        </w:numPr>
        <w:pStyle w:val="Compact"/>
      </w:pPr>
      <w:r>
        <w:t xml:space="preserve">The Dockstore CLI, as of v1.15, uses Cromwell to run WDLs. Advice about Cromwell will therefore also apply to the Dockstore CLI.</w:t>
      </w:r>
    </w:p>
    <w:p>
      <w:pPr>
        <w:numPr>
          <w:ilvl w:val="0"/>
          <w:numId w:val="1010"/>
        </w:numPr>
        <w:pStyle w:val="Compact"/>
      </w:pPr>
      <w:r>
        <w:t xml:space="preserve">If running a workflow with a scattered task on a local compute, consider using miniwdl instead of Cromwell.</w:t>
      </w:r>
    </w:p>
    <w:p>
      <w:pPr>
        <w:numPr>
          <w:ilvl w:val="0"/>
          <w:numId w:val="1010"/>
        </w:numPr>
        <w:pStyle w:val="Compact"/>
      </w:pPr>
      <w:r>
        <w:t xml:space="preserve">Whether you are using miniwdl or Cromwell locally, make sure Docker has enough resources to be able to download and run the Docker images specified in your WDL tasks.</w:t>
      </w:r>
    </w:p>
    <w:p>
      <w:pPr>
        <w:numPr>
          <w:ilvl w:val="0"/>
          <w:numId w:val="1010"/>
        </w:numPr>
        <w:pStyle w:val="Compact"/>
      </w:pPr>
      <w:r>
        <w:t xml:space="preserve">Workflow systems with a UI like Terra may become unresponsive if you run a task scattered more than 1000x. Outputs may need to be interacted with using an API specific to that backend.</w:t>
      </w:r>
    </w:p>
    <w:bookmarkEnd w:id="120"/>
    <w:bookmarkStart w:id="123" w:name="executor-specific-notes"/>
    <w:p>
      <w:pPr>
        <w:pStyle w:val="Heading2"/>
      </w:pPr>
      <w:r>
        <w:rPr>
          <w:rStyle w:val="SectionNumber"/>
        </w:rPr>
        <w:t xml:space="preserve">8.3</w:t>
      </w:r>
      <w:r>
        <w:tab/>
      </w:r>
      <w:r>
        <w:t xml:space="preserve">Executor-specific notes</w:t>
      </w:r>
    </w:p>
    <w:bookmarkStart w:id="121" w:name="cromwell"/>
    <w:p>
      <w:pPr>
        <w:pStyle w:val="Heading3"/>
      </w:pPr>
      <w:r>
        <w:rPr>
          <w:rStyle w:val="SectionNumber"/>
        </w:rPr>
        <w:t xml:space="preserve">8.3.1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1"/>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1"/>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1"/>
        </w:numPr>
      </w:pPr>
      <w:r>
        <w:t xml:space="preserve">Cromwell does not use call cacheing on most backends, but it is the default on Terra. For non-Terra backends, it can be enabled in the Cromwell configuration file.</w:t>
      </w:r>
    </w:p>
    <w:p>
      <w:pPr>
        <w:numPr>
          <w:ilvl w:val="0"/>
          <w:numId w:val="1011"/>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1"/>
        </w:numPr>
      </w:pPr>
      <w:r>
        <w:t xml:space="preserve">Generally speaking, Cromwell will be able to directly modify input files by default without causing permission errors.</w:t>
      </w:r>
    </w:p>
    <w:bookmarkEnd w:id="121"/>
    <w:bookmarkStart w:id="122" w:name="miniwdl"/>
    <w:p>
      <w:pPr>
        <w:pStyle w:val="Heading3"/>
      </w:pPr>
      <w:r>
        <w:rPr>
          <w:rStyle w:val="SectionNumber"/>
        </w:rPr>
        <w:t xml:space="preserve">8.3.2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2"/>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2"/>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2"/>
        </w:numPr>
      </w:pPr>
      <w:r>
        <w:t xml:space="preserve">miniwdl supports call cacheing, but it is turned off by default.</w:t>
      </w:r>
    </w:p>
    <w:p>
      <w:pPr>
        <w:numPr>
          <w:ilvl w:val="0"/>
          <w:numId w:val="1012"/>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2"/>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22"/>
    <w:bookmarkEnd w:id="123"/>
    <w:bookmarkStart w:id="129" w:name="backend-specific-notes"/>
    <w:p>
      <w:pPr>
        <w:pStyle w:val="Heading2"/>
      </w:pPr>
      <w:r>
        <w:rPr>
          <w:rStyle w:val="SectionNumber"/>
        </w:rPr>
        <w:t xml:space="preserve">8.4</w:t>
      </w:r>
      <w:r>
        <w:tab/>
      </w:r>
      <w:r>
        <w:t xml:space="preserve">Backend-specific notes</w:t>
      </w:r>
    </w:p>
    <w:bookmarkStart w:id="126" w:name="gcp"/>
    <w:p>
      <w:pPr>
        <w:pStyle w:val="Heading3"/>
      </w:pPr>
      <w:r>
        <w:rPr>
          <w:rStyle w:val="SectionNumber"/>
        </w:rPr>
        <w:t xml:space="preserve">8.4.1</w:t>
      </w:r>
      <w:r>
        <w:tab/>
      </w:r>
      <w:r>
        <w:t xml:space="preserve">GCP</w:t>
      </w:r>
    </w:p>
    <w:bookmarkStart w:id="124" w:name="disk-space"/>
    <w:p>
      <w:pPr>
        <w:pStyle w:val="Heading4"/>
      </w:pPr>
      <w:r>
        <w:rPr>
          <w:rStyle w:val="SectionNumber"/>
        </w:rPr>
        <w:t xml:space="preserve">8.4.1.1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3"/>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3"/>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3"/>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24"/>
    <w:bookmarkStart w:id="125" w:name="preemptibles"/>
    <w:p>
      <w:pPr>
        <w:pStyle w:val="Heading4"/>
      </w:pPr>
      <w:r>
        <w:rPr>
          <w:rStyle w:val="SectionNumber"/>
        </w:rPr>
        <w:t xml:space="preserve">8.4.1.2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25"/>
    <w:bookmarkEnd w:id="126"/>
    <w:bookmarkStart w:id="128" w:name="hpcs"/>
    <w:p>
      <w:pPr>
        <w:pStyle w:val="Heading3"/>
      </w:pPr>
      <w:r>
        <w:rPr>
          <w:rStyle w:val="SectionNumber"/>
        </w:rPr>
        <w:t xml:space="preserve">8.4.2</w:t>
      </w:r>
      <w:r>
        <w:tab/>
      </w:r>
      <w:r>
        <w:t xml:space="preserve">HPCs</w:t>
      </w:r>
    </w:p>
    <w:p>
      <w:pPr>
        <w:pStyle w:val="FirstParagraph"/>
      </w:pPr>
      <w:r>
        <w:t xml:space="preserve">It is difficult to provide specific advice on HPCs, as they can vary greatly. Some general notes:</w:t>
      </w:r>
    </w:p>
    <w:p>
      <w:pPr>
        <w:numPr>
          <w:ilvl w:val="0"/>
          <w:numId w:val="1014"/>
        </w:numPr>
      </w:pPr>
      <w:r>
        <w:t xml:space="preserve">Some HPCs do not support the use of Docker due to security concerns</w:t>
      </w:r>
    </w:p>
    <w:p>
      <w:pPr>
        <w:numPr>
          <w:ilvl w:val="1"/>
          <w:numId w:val="1015"/>
        </w:numPr>
        <w:pStyle w:val="Compact"/>
      </w:pPr>
      <w:r>
        <w:t xml:space="preserve">HPCs that do not allow the use of Docker may be able to run WDLs using alternative container technologies such as podman or rootless Docker</w:t>
      </w:r>
    </w:p>
    <w:p>
      <w:pPr>
        <w:numPr>
          <w:ilvl w:val="0"/>
          <w:numId w:val="1014"/>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27" w:name="fred-hutch-hpc"/>
    <w:p>
      <w:pPr>
        <w:pStyle w:val="Heading4"/>
      </w:pPr>
      <w:r>
        <w:rPr>
          <w:rStyle w:val="SectionNumber"/>
        </w:rPr>
        <w:t xml:space="preserve">8.4.2.1</w:t>
      </w:r>
      <w:r>
        <w:tab/>
      </w:r>
      <w:r>
        <w:t xml:space="preserve">Fred Hutch HPC</w:t>
      </w:r>
    </w:p>
    <w:p>
      <w:pPr>
        <w:numPr>
          <w:ilvl w:val="0"/>
          <w:numId w:val="1016"/>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6"/>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6"/>
        </w:numPr>
      </w:pPr>
      <w:r>
        <w:t xml:space="preserve">The Fred Hutch HPC supports the use of multiple JSON files going into the same workflow</w:t>
      </w:r>
    </w:p>
    <w:bookmarkEnd w:id="127"/>
    <w:bookmarkEnd w:id="128"/>
    <w:bookmarkEnd w:id="129"/>
    <w:bookmarkEnd w:id="130"/>
    <w:bookmarkStart w:id="137" w:name="about-the-authors"/>
    <w:p>
      <w:pPr>
        <w:pStyle w:val="Heading1"/>
      </w:pPr>
      <w:r>
        <w:t xml:space="preserve">About the Authors</w:t>
      </w:r>
    </w:p>
    <w:p>
      <w:pPr>
        <w:pStyle w:val="FirstParagraph"/>
      </w:pPr>
      <w:r>
        <w:t xml:space="preserve">These credits are based on our</w:t>
      </w:r>
      <w:r>
        <w:t xml:space="preserve"> </w:t>
      </w:r>
      <w:hyperlink r:id="rId131">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32">
              <w:r>
                <w:rPr>
                  <w:rStyle w:val="Hyperlink"/>
                </w:rPr>
                <w:t xml:space="preserve">Candace Savonen</w:t>
              </w:r>
            </w:hyperlink>
            <w:r>
              <w:t xml:space="preserve">,</w:t>
            </w:r>
            <w:r>
              <w:t xml:space="preserve"> </w:t>
            </w:r>
            <w:hyperlink r:id="rId133">
              <w:r>
                <w:rPr>
                  <w:rStyle w:val="Hyperlink"/>
                </w:rPr>
                <w:t xml:space="preserve">Carrie Wright</w:t>
              </w:r>
            </w:hyperlink>
            <w:r>
              <w:t xml:space="preserve">,</w:t>
            </w:r>
            <w:r>
              <w:t xml:space="preserve"> </w:t>
            </w:r>
            <w:hyperlink r:id="rId13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3">
              <w:r>
                <w:rPr>
                  <w:rStyle w:val="Hyperlink"/>
                </w:rPr>
                <w:t xml:space="preserve">Carrie Wright</w:t>
              </w:r>
            </w:hyperlink>
            <w:r>
              <w:t xml:space="preserve">,</w:t>
            </w:r>
            <w:r>
              <w:t xml:space="preserve"> </w:t>
            </w:r>
            <w:hyperlink r:id="rId134">
              <w:r>
                <w:rPr>
                  <w:rStyle w:val="Hyperlink"/>
                </w:rPr>
                <w:t xml:space="preserve">Ava Hoffman</w:t>
              </w:r>
            </w:hyperlink>
            <w:r>
              <w:t xml:space="preserve">,</w:t>
            </w:r>
            <w:r>
              <w:t xml:space="preserve"> </w:t>
            </w:r>
            <w:hyperlink r:id="rId132">
              <w:r>
                <w:rPr>
                  <w:rStyle w:val="Hyperlink"/>
                </w:rPr>
                <w:t xml:space="preserve">Candace Savonen</w:t>
              </w:r>
            </w:hyperlink>
          </w:p>
        </w:tc>
      </w:tr>
      <w:tr>
        <w:tc>
          <w:tcPr/>
          <w:p>
            <w:pPr>
              <w:pStyle w:val="Compact"/>
              <w:jc w:val="left"/>
            </w:pPr>
            <w:r>
              <w:t xml:space="preserve">Package Developers (</w:t>
            </w:r>
            <w:hyperlink r:id="rId135">
              <w:r>
                <w:rPr>
                  <w:rStyle w:val="Hyperlink"/>
                </w:rPr>
                <w:t xml:space="preserve">ottrpal</w:t>
              </w:r>
            </w:hyperlink>
            <w:r>
              <w:t xml:space="preserve">)</w:t>
            </w:r>
            <w:r>
              <w:t xml:space="preserve"> </w:t>
            </w:r>
            <w:hyperlink r:id="rId132">
              <w:r>
                <w:rPr>
                  <w:rStyle w:val="Hyperlink"/>
                </w:rPr>
                <w:t xml:space="preserve">Candace Savonen</w:t>
              </w:r>
            </w:hyperlink>
            <w:r>
              <w:t xml:space="preserve">,</w:t>
            </w:r>
            <w:r>
              <w:t xml:space="preserve"> </w:t>
            </w:r>
            <w:hyperlink r:id="rId136">
              <w:r>
                <w:rPr>
                  <w:rStyle w:val="Hyperlink"/>
                </w:rPr>
                <w:t xml:space="preserve">John Muschelli</w:t>
              </w:r>
            </w:hyperlink>
            <w:r>
              <w:t xml:space="preserve">,</w:t>
            </w:r>
            <w:r>
              <w:t xml:space="preserve"> </w:t>
            </w:r>
            <w:hyperlink r:id="rId133">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7"/>
    <w:bookmarkStart w:id="138" w:name="references"/>
    <w:p>
      <w:pPr>
        <w:pStyle w:val="Heading1"/>
      </w:pPr>
      <w:r>
        <w:rPr>
          <w:rStyle w:val="SectionNumber"/>
        </w:rPr>
        <w:t xml:space="preserve">9</w:t>
      </w:r>
      <w:r>
        <w:tab/>
      </w:r>
      <w:r>
        <w:t xml:space="preserve">References</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07"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33"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8"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3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9"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6"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4" Target="https://www.avahoffman.com/" TargetMode="External" /><Relationship Type="http://schemas.openxmlformats.org/officeDocument/2006/relationships/hyperlink" Id="rId132"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1" Target="https://www.ottrproject.org/more_features.html#giving-credits-to-contributors" TargetMode="External" /><Relationship Type="http://schemas.openxmlformats.org/officeDocument/2006/relationships/hyperlink" Id="rId41"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107"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33"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8"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3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9"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6"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4" Target="https://www.avahoffman.com/" TargetMode="External" /><Relationship Type="http://schemas.openxmlformats.org/officeDocument/2006/relationships/hyperlink" Id="rId132"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1" Target="https://www.ottrproject.org/more_features.html#giving-credits-to-contributors" TargetMode="External" /><Relationship Type="http://schemas.openxmlformats.org/officeDocument/2006/relationships/hyperlink" Id="rId41"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2024-02-29T21:17:21Z</dcterms:created>
  <dcterms:modified xsi:type="dcterms:W3CDTF">2024-02-29T21:17:21Z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