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36.png" ContentType="image/png"/>
  <Override PartName="/word/media/rId131.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6"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5"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2"/>
    <w:bookmarkStart w:id="64" w:name="access-to-files"/>
    <w:p>
      <w:pPr>
        <w:pStyle w:val="Heading3"/>
      </w:pPr>
      <w:r>
        <w:rPr>
          <w:rStyle w:val="SectionNumber"/>
        </w:rPr>
        <w:t xml:space="preserve">2.3.5</w:t>
      </w:r>
      <w:r>
        <w:tab/>
      </w:r>
      <w:r>
        <w:t xml:space="preserve">Access to files</w:t>
      </w:r>
    </w:p>
    <w:p>
      <w:pPr>
        <w:pStyle w:val="FirstParagraph"/>
      </w:pPr>
      <w:r>
        <w:t xml:space="preserve">All files needed to run the workflow can be</w:t>
      </w:r>
      <w:r>
        <w:t xml:space="preserve"> </w:t>
      </w:r>
      <w:hyperlink r:id="rId63">
        <w:r>
          <w:rPr>
            <w:rStyle w:val="Hyperlink"/>
          </w:rPr>
          <w:t xml:space="preserve">downloaded here</w:t>
        </w:r>
      </w:hyperlink>
      <w:r>
        <w:t xml:space="preserve">.</w:t>
      </w:r>
    </w:p>
    <w:p>
      <w:pPr>
        <w:pStyle w:val="BodyText"/>
      </w:pPr>
      <w:r>
        <w:t xml:space="preserve">Loading…</w:t>
      </w:r>
    </w:p>
    <w:bookmarkEnd w:id="64"/>
    <w:bookmarkEnd w:id="65"/>
    <w:bookmarkEnd w:id="66"/>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5"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8"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7">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8"/>
    <w:bookmarkStart w:id="73"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9">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70">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71">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2">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3"/>
    <w:bookmarkStart w:id="74"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4"/>
    <w:bookmarkEnd w:id="75"/>
    <w:bookmarkStart w:id="82"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6">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7">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81"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8">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9">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80">
        <w:r>
          <w:rPr>
            <w:rStyle w:val="Hyperlink"/>
          </w:rPr>
          <w:t xml:space="preserve">Docker’s official curriculum</w:t>
        </w:r>
      </w:hyperlink>
      <w:r>
        <w:t xml:space="preserve">.</w:t>
      </w:r>
    </w:p>
    <w:bookmarkEnd w:id="81"/>
    <w:bookmarkEnd w:id="82"/>
    <w:bookmarkStart w:id="83"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3"/>
    <w:bookmarkStart w:id="84"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4"/>
    <w:bookmarkStart w:id="85"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5"/>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w:t>
      </w:r>
      <w:r>
        <w:t xml:space="preserve"> </w:t>
      </w:r>
      <w:hyperlink r:id="rId63">
        <w:r>
          <w:rPr>
            <w:rStyle w:val="Hyperlink"/>
          </w:rPr>
          <w:t xml:space="preserve">test data</w:t>
        </w:r>
      </w:hyperlink>
      <w:r>
        <w:t xml:space="preserve"> </w:t>
      </w:r>
      <w:r>
        <w:t xml:space="preserve">needed to run this single-task workflow:</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w:t>
      </w:r>
    </w:p>
    <w:p>
      <w:pPr>
        <w:pStyle w:val="FirstParagraph"/>
      </w:pPr>
      <w:r>
        <w:t xml:space="preserve">The example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We also expand our input JSON metadata to have files needed for each task:</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  "mutation_calling.ref_name": "hg19",</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2"/>
    <w:bookmarkStart w:id="113" w:name="parallelization-via-arrays"/>
    <w:p>
      <w:pPr>
        <w:pStyle w:val="Heading1"/>
      </w:pPr>
      <w:r>
        <w:rPr>
          <w:rStyle w:val="SectionNumber"/>
        </w:rPr>
        <w:t xml:space="preserve">6</w:t>
      </w:r>
      <w:r>
        <w:tab/>
      </w:r>
      <w:r>
        <w:t xml:space="preserve">Parallelization via Arrays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"mutation_calling.tumorSamples": ["/path/to/Tumor_1_KRAS_CALU1_combined_final.fastq",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"mutation_calling.tumorSamples": ["/fh/fast/paguirigan_a/pub/ReferenceDataSets/workflow_testing_data/WDL/wdl_101/HCC4006_final.fastq", "/fh/fast/paguirigan_a/pub/ReferenceDataSets/workflow_testing_data/WDL/wdl_101/CALU1_combined_final.fastq"],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12"/>
    <w:bookmarkEnd w:id="113"/>
    <w:bookmarkStart w:id="118" w:name="task-aliasing"/>
    <w:p>
      <w:pPr>
        <w:pStyle w:val="Heading1"/>
      </w:pPr>
      <w:r>
        <w:rPr>
          <w:rStyle w:val="SectionNumber"/>
        </w:rPr>
        <w:t xml:space="preserve">7</w:t>
      </w:r>
      <w:r>
        <w:tab/>
      </w:r>
      <w:r>
        <w:t xml:space="preserve">Task Aliasing</w:t>
      </w:r>
    </w:p>
    <w:p>
      <w:pPr>
        <w:pStyle w:val="FirstParagraph"/>
      </w:pPr>
      <w:r>
        <w:t xml:space="preserve">Right now, we have developed our workflow for only tumor samples of a patient, but our mutation caller Mutect2 performs best when each tumor is matched with a normal sample. Therefore, in order to make best use of Mutect2, we want to run a similar analysis on the normal samples as well, using tasks such as BwaMem, MarkDuplicates, and ApplyBaseRecalibrator. We could write new tasks for the normal samples, but they are run exactly the same as the tumor samples: we would like to reuse our existing tasks for these tumor samples.</w:t>
      </w:r>
    </w:p>
    <w:p>
      <w:pPr>
        <w:pStyle w:val="BodyText"/>
      </w:pPr>
      <w:r>
        <w:t xml:space="preserve">WDL has a feature that allows you to reuse the same task repeatedly through your workflow:</w:t>
      </w:r>
      <w:r>
        <w:t xml:space="preserve"> </w:t>
      </w:r>
      <w:r>
        <w:rPr>
          <w:bCs/>
          <w:b/>
        </w:rPr>
        <w:t xml:space="preserve">task aliasing</w:t>
      </w:r>
      <w:r>
        <w:t xml:space="preserve">.</w:t>
      </w:r>
      <w:r>
        <w:t xml:space="preserve"> </w:t>
      </w:r>
      <w:r>
        <w:t xml:space="preserve">Task aliasing allows for the re-use of task definitions within the same workflow under different names, or</w:t>
      </w:r>
      <w:r>
        <w:t xml:space="preserve"> </w:t>
      </w:r>
      <w:r>
        <w:t xml:space="preserve">“</w:t>
      </w:r>
      <w:r>
        <w:t xml:space="preserve">aliases</w:t>
      </w:r>
      <w:r>
        <w:t xml:space="preserve">”</w:t>
      </w:r>
      <w:r>
        <w:t xml:space="preserve">. For example, our task for alignment,</w:t>
      </w:r>
      <w:r>
        <w:t xml:space="preserve"> </w:t>
      </w:r>
      <w:r>
        <w:t xml:space="preserve">“</w:t>
      </w:r>
      <w:r>
        <w:t xml:space="preserve">BwaMem</w:t>
      </w:r>
      <w:r>
        <w:t xml:space="preserve">”</w:t>
      </w:r>
      <w:r>
        <w:t xml:space="preserve">, can be aliased for both tumor and normal samples. This way, you don’t need to copy and paste the same task definition multiple times, and when you modify the the task definition, all aliases will be updated.</w:t>
      </w:r>
    </w:p>
    <w:bookmarkStart w:id="114" w:name="aliasing-your-first-task"/>
    <w:p>
      <w:pPr>
        <w:pStyle w:val="Heading2"/>
      </w:pPr>
      <w:r>
        <w:rPr>
          <w:rStyle w:val="SectionNumber"/>
        </w:rPr>
        <w:t xml:space="preserve">7.1</w:t>
      </w:r>
      <w:r>
        <w:tab/>
      </w:r>
      <w:r>
        <w:t xml:space="preserve">Aliasing your first task</w:t>
      </w:r>
    </w:p>
    <w:p>
      <w:pPr>
        <w:pStyle w:val="FirstParagraph"/>
      </w:pPr>
      <w:r>
        <w:t xml:space="preserve">We first demonstrate task aliasing for tumor-normal matched somatic mutation calling in which we use the same normal sample for both tumor samples. This implies that we have taken multiple tumor samples from the same patient, and we’re comparing all of them against a single normal sample. This is easy to write, but not a very common analysis. After this example, we follow up with a more sophisticated tumor-normal matched somatic mutation calling in which each patient has unique paired tumor-normal samples. This is the popular way of calling somatic mutation.</w:t>
      </w:r>
    </w:p>
    <w:p>
      <w:pPr>
        <w:pStyle w:val="BodyText"/>
      </w:pPr>
      <w:r>
        <w:t xml:space="preserve">You can only alias a task that is already defined, so we will start with aliasing the BwaMem task for normal samples rather than writing a new BwaMem task specifically for normal samples.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normalFastq</w:t>
      </w:r>
      <w:r>
        <w:br/>
      </w:r>
      <w:r>
        <w:rPr>
          <w:rStyle w:val="VerbatimChar"/>
        </w:rPr>
        <w:t xml:space="preserve">...</w:t>
      </w:r>
      <w:r>
        <w:br/>
      </w:r>
      <w:r>
        <w:rPr>
          <w:rStyle w:val="VerbatimChar"/>
        </w:rPr>
        <w:t xml:space="preserve">  }</w:t>
      </w:r>
    </w:p>
    <w:p>
      <w:pPr>
        <w:pStyle w:val="FirstParagraph"/>
      </w:pPr>
      <w:r>
        <w:t xml:space="preserve">Then, you need to call the task 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 Within the task, you need to make sure that all the inputs reflect the new variable, so</w:t>
      </w:r>
      <w:r>
        <w:t xml:space="preserve"> </w:t>
      </w:r>
      <w:r>
        <w:rPr>
          <w:rStyle w:val="VerbatimChar"/>
        </w:rPr>
        <w:t xml:space="preserve">input_fastq</w:t>
      </w:r>
      <w:r>
        <w:t xml:space="preserve"> </w:t>
      </w:r>
      <w:r>
        <w:t xml:space="preserve">is directed to</w:t>
      </w:r>
      <w:r>
        <w:t xml:space="preserve"> </w:t>
      </w:r>
      <w:r>
        <w:rPr>
          <w:rStyle w:val="VerbatimChar"/>
        </w:rPr>
        <w:t xml:space="preserve">normalFastq</w:t>
      </w:r>
      <w:r>
        <w:t xml:space="preserve">.</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p>
    <w:p>
      <w:pPr>
        <w:pStyle w:val="FirstParagraph"/>
      </w:pPr>
      <w:r>
        <w:t xml:space="preserve">In the output of the workflow, you also want to make sure that in you are saving the appropriate outputs to reflect the task alias.</w:t>
      </w:r>
    </w:p>
    <w:p>
      <w:pPr>
        <w:pStyle w:val="SourceCode"/>
      </w:pPr>
      <w:r>
        <w:rPr>
          <w:rStyle w:val="VerbatimChar"/>
        </w:rPr>
        <w:t xml:space="preserve">output {</w:t>
      </w:r>
      <w:r>
        <w:br/>
      </w:r>
      <w:r>
        <w:rPr>
          <w:rStyle w:val="VerbatimChar"/>
        </w:rPr>
        <w:t xml:space="preserve">  File normalalignedBamSorted = normalBwaMem.analysisReadySorted</w:t>
      </w:r>
      <w:r>
        <w:br/>
      </w:r>
      <w:r>
        <w:rPr>
          <w:rStyle w:val="VerbatimChar"/>
        </w:rPr>
        <w:t xml:space="preserve">}</w:t>
      </w:r>
    </w:p>
    <w:bookmarkEnd w:id="114"/>
    <w:bookmarkStart w:id="115" w:name="aliasing-other-tasks"/>
    <w:p>
      <w:pPr>
        <w:pStyle w:val="Heading2"/>
      </w:pPr>
      <w:r>
        <w:rPr>
          <w:rStyle w:val="SectionNumber"/>
        </w:rPr>
        <w:t xml:space="preserve">7.2</w:t>
      </w:r>
      <w:r>
        <w:tab/>
      </w:r>
      <w:r>
        <w:t xml:space="preserve">Aliasing other tasks</w:t>
      </w:r>
    </w:p>
    <w:p>
      <w:pPr>
        <w:pStyle w:val="FirstParagraph"/>
      </w:pPr>
      <w:r>
        <w:t xml:space="preserve">We can do this for the other two tasks in our workflow as well for the normal sample:</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After adding these steps to the workflow, we will have our normal sample aligned and recalibrated. Together with the tumor sample, we can use the paired version of Mutect2 via the new</w:t>
      </w:r>
      <w:r>
        <w:t xml:space="preserve"> </w:t>
      </w:r>
      <w:r>
        <w:rPr>
          <w:rStyle w:val="VerbatimChar"/>
        </w:rPr>
        <w:t xml:space="preserve">Mutect2Paired</w:t>
      </w:r>
      <w:r>
        <w:t xml:space="preserve"> </w:t>
      </w:r>
      <w:r>
        <w:t xml:space="preserve">task.</w:t>
      </w:r>
    </w:p>
    <w:p>
      <w:pPr>
        <w:pStyle w:val="BodyText"/>
      </w:pPr>
      <w:r>
        <w:t xml:space="preserve">The workflow so far using the same normal sample for tumor-normal mutation calling.</w:t>
      </w:r>
      <w:r>
        <w:t xml:space="preserve"> </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5"/>
    <w:bookmarkStart w:id="117" w:name="paired-tumor-normal-calling"/>
    <w:p>
      <w:pPr>
        <w:pStyle w:val="Heading2"/>
      </w:pPr>
      <w:r>
        <w:rPr>
          <w:rStyle w:val="SectionNumber"/>
        </w:rPr>
        <w:t xml:space="preserve">7.3</w:t>
      </w:r>
      <w:r>
        <w:tab/>
      </w:r>
      <w:r>
        <w:t xml:space="preserve">Paired tumor normal calling</w:t>
      </w:r>
    </w:p>
    <w:p>
      <w:pPr>
        <w:pStyle w:val="FirstParagraph"/>
      </w:pPr>
      <w:r>
        <w:t xml:space="preserve">Now that we are comfortable with task aliasing, we follow up with a more sophisticated tumor-normal matched somatic mutation calling in which each patient has unique paired tumor-normal samples. In order to do so, we need to ensure that each patient has an unique tumor and normal sample. We could modify our workflow inputs to be: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Array[file] normalSamples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but that would be a bit awkward to scatter through, as we would need to create a separate index to keep track of which sample we are using in the array of</w:t>
      </w:r>
      <w:r>
        <w:t xml:space="preserve"> </w:t>
      </w:r>
      <w:r>
        <w:rPr>
          <w:rStyle w:val="VerbatimChar"/>
        </w:rPr>
        <w:t xml:space="preserve">tumorSamples</w:t>
      </w:r>
      <w:r>
        <w:t xml:space="preserve"> </w:t>
      </w:r>
      <w:r>
        <w:t xml:space="preserve">and</w:t>
      </w:r>
      <w:r>
        <w:t xml:space="preserve"> </w:t>
      </w:r>
      <w:r>
        <w:rPr>
          <w:rStyle w:val="VerbatimChar"/>
        </w:rPr>
        <w:t xml:space="preserve">normalSamples</w:t>
      </w:r>
      <w:r>
        <w:t xml:space="preserve">.</w:t>
      </w:r>
    </w:p>
    <w:p>
      <w:pPr>
        <w:pStyle w:val="BodyText"/>
      </w:pPr>
      <w:r>
        <w:t xml:space="preserve">Instead, we write a struct for our paired samples:</w:t>
      </w:r>
    </w:p>
    <w:p>
      <w:pPr>
        <w:pStyle w:val="SourceCode"/>
      </w:pP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p>
    <w:p>
      <w:pPr>
        <w:pStyle w:val="FirstParagraph"/>
      </w:pPr>
      <w:r>
        <w:t xml:space="preserve">so that in our workflow inputs, we use an array of</w:t>
      </w:r>
      <w:r>
        <w:t xml:space="preserve"> </w:t>
      </w:r>
      <w:r>
        <w:rPr>
          <w:rStyle w:val="VerbatimChar"/>
        </w:rPr>
        <w:t xml:space="preserve">pairedSample</w:t>
      </w:r>
      <w:r>
        <w:t xml:space="preserv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we can scatter on</w:t>
      </w:r>
      <w:r>
        <w:t xml:space="preserve"> </w:t>
      </w:r>
      <w:r>
        <w:rPr>
          <w:rStyle w:val="VerbatimChar"/>
        </w:rPr>
        <w:t xml:space="preserve">samples</w:t>
      </w:r>
      <w:r>
        <w:t xml:space="preserve">. Within our scatter, we use task aliasing to call tumor-specific and normal-specific tasks until</w:t>
      </w:r>
      <w:r>
        <w:t xml:space="preserve"> </w:t>
      </w:r>
      <w:r>
        <w:rPr>
          <w:rStyle w:val="VerbatimChar"/>
        </w:rPr>
        <w:t xml:space="preserve">Mutect2Paired</w:t>
      </w:r>
      <w:r>
        <w:t xml:space="preserve"> </w:t>
      </w:r>
      <w:r>
        <w:t xml:space="preserve">and</w:t>
      </w:r>
      <w:r>
        <w:t xml:space="preserve"> </w:t>
      </w:r>
      <w:r>
        <w:rPr>
          <w:rStyle w:val="VerbatimChar"/>
        </w:rPr>
        <w:t xml:space="preserve">annovar</w:t>
      </w:r>
      <w:r>
        <w:t xml:space="preserve">.</w:t>
      </w:r>
    </w:p>
    <w:p>
      <w:pPr>
        <w:pStyle w:val="SourceCode"/>
      </w:pPr>
      <w:r>
        <w:rPr>
          <w:rStyle w:val="VerbatimChar"/>
        </w:rPr>
        <w:t xml:space="preserve">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Putting it together:</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normalApplyBaseRecalibrator.recalibrated_bam </w:t>
      </w:r>
      <w:r>
        <w:br/>
      </w:r>
      <w:r>
        <w:rPr>
          <w:rStyle w:val="VerbatimChar"/>
        </w:rPr>
        <w:t xml:space="preserve">    Array[File]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"mutation_calling.samples": [{"tumorSample": "/path/to/Tumor_1_KRAS_CALU1_combined_final.fastq",</w:t>
      </w:r>
      <w:r>
        <w:br/>
      </w:r>
      <w:r>
        <w:rPr>
          <w:rStyle w:val="VerbatimChar"/>
        </w:rPr>
        <w:t xml:space="preserve">                                "normalSample": "/path/to/Normal_1_MOLM13_combined_final.fastq"},</w:t>
      </w:r>
      <w:r>
        <w:br/>
      </w:r>
      <w:r>
        <w:rPr>
          <w:rStyle w:val="VerbatimChar"/>
        </w:rPr>
        <w:t xml:space="preserve">                               {"tumorSample": "/path/to/Tumor_2_EGFR_HCC4006_combined.fastq",</w:t>
      </w:r>
      <w:r>
        <w:br/>
      </w:r>
      <w:r>
        <w:rPr>
          <w:rStyle w:val="VerbatimChar"/>
        </w:rPr>
        <w:t xml:space="preserve">                                "normalSample": "/path/to/Normal_2_MOLM13_combined_final.fastq"}],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Now we have a complete workflow that reflects our original plan in</w:t>
      </w:r>
      <w:r>
        <w:t xml:space="preserve"> </w:t>
      </w:r>
      <w:hyperlink r:id="rId116">
        <w:r>
          <w:rPr>
            <w:rStyle w:val="Hyperlink"/>
          </w:rPr>
          <w:t xml:space="preserve">Defining a workflow plan</w:t>
        </w:r>
      </w:hyperlink>
      <w:r>
        <w:t xml:space="preserve">!</w:t>
      </w:r>
    </w:p>
    <w:p>
      <w:pPr>
        <w:pStyle w:val="BodyText"/>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17"/>
    <w:bookmarkEnd w:id="118"/>
    <w:bookmarkStart w:id="124"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19"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19"/>
    <w:bookmarkStart w:id="122"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0"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0"/>
    <w:bookmarkStart w:id="121"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1"/>
    <w:bookmarkEnd w:id="122"/>
    <w:bookmarkStart w:id="123"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3"/>
    <w:bookmarkEnd w:id="124"/>
    <w:bookmarkStart w:id="140"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0" w:name="common-optimizingparallelizing-methods"/>
    <w:p>
      <w:pPr>
        <w:pStyle w:val="Heading2"/>
      </w:pPr>
      <w:r>
        <w:rPr>
          <w:rStyle w:val="SectionNumber"/>
        </w:rPr>
        <w:t xml:space="preserve">9.1</w:t>
      </w:r>
      <w:r>
        <w:tab/>
      </w:r>
      <w:r>
        <w:t xml:space="preserve">Common optimizing/parallelizing methods</w:t>
      </w:r>
    </w:p>
    <w:bookmarkStart w:id="125" w:name="memory-optimization"/>
    <w:p>
      <w:pPr>
        <w:pStyle w:val="Heading3"/>
      </w:pPr>
      <w:r>
        <w:rPr>
          <w:rStyle w:val="SectionNumber"/>
        </w:rPr>
        <w:t xml:space="preserve">9.1.1</w:t>
      </w:r>
      <w:r>
        <w:tab/>
      </w:r>
      <w:r>
        <w:t xml:space="preserve">Memory optimization</w:t>
      </w:r>
    </w:p>
    <w:p>
      <w:pPr>
        <w:pStyle w:val="FirstParagraph"/>
      </w:pPr>
      <w:r>
        <w:t xml:space="preserve">To optimizie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5"/>
    <w:bookmarkStart w:id="126"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6"/>
    <w:bookmarkStart w:id="127"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7"/>
    <w:bookmarkStart w:id="128"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28"/>
    <w:bookmarkStart w:id="129"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29"/>
    <w:bookmarkEnd w:id="130"/>
    <w:bookmarkStart w:id="139"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1"/>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2" w:name="fig1"/>
      <w:r>
        <w:t xml:space="preserve">Figure </w:t>
      </w:r>
      <w:fldSimple w:instr="SEQ Figure \* ARABIC ">
        <w:r>
          <w:t>1</w:t>
        </w:r>
      </w:fldSimple>
      <w:r>
        <w:t xml:space="preserve">:</w:t>
      </w:r>
      <w:r>
        <w:t xml:space="preserve"> </w:t>
      </w:r>
      <w:bookmarkEnd w:id="132"/>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3">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 name="Picture"/>
            <a:graphic>
              <a:graphicData uri="http://schemas.openxmlformats.org/drawingml/2006/picture">
                <pic:pic>
                  <pic:nvPicPr>
                    <pic:cNvPr descr="assets/split_by_chr.png" id="0" name="Picture"/>
                    <pic:cNvPicPr>
                      <a:picLocks noChangeArrowheads="1" noChangeAspect="1"/>
                    </pic:cNvPicPr>
                  </pic:nvPicPr>
                  <pic:blipFill>
                    <a:blip r:embed="rId134"/>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bookmarkStart w:id="135" w:name="fig2"/>
      <w:r>
        <w:t xml:space="preserve">Figure </w:t>
      </w:r>
      <w:fldSimple w:instr="SEQ Figure \* ARABIC ">
        <w:r>
          <w:t>2</w:t>
        </w:r>
      </w:fldSimple>
      <w:r>
        <w:t xml:space="preserve">:</w:t>
      </w:r>
      <w:r>
        <w:t xml:space="preserve"> </w:t>
      </w:r>
      <w:bookmarkEnd w:id="135"/>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 name="Picture"/>
            <a:graphic>
              <a:graphicData uri="http://schemas.openxmlformats.org/drawingml/2006/picture">
                <pic:pic>
                  <pic:nvPicPr>
                    <pic:cNvPr descr="assets/gather_bams.png" id="0" name="Picture"/>
                    <pic:cNvPicPr>
                      <a:picLocks noChangeArrowheads="1" noChangeAspect="1"/>
                    </pic:cNvPicPr>
                  </pic:nvPicPr>
                  <pic:blipFill>
                    <a:blip r:embed="rId136"/>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bookmarkStart w:id="137" w:name="fig3"/>
      <w:r>
        <w:t xml:space="preserve">Figure </w:t>
      </w:r>
      <w:fldSimple w:instr="SEQ Figure \* ARABIC ">
        <w:r>
          <w:t>3</w:t>
        </w:r>
      </w:fldSimple>
      <w:r>
        <w:t xml:space="preserve">:</w:t>
      </w:r>
      <w:r>
        <w:t xml:space="preserve"> </w:t>
      </w:r>
      <w:bookmarkEnd w:id="137"/>
      <w:r>
        <w:t xml:space="preserve">GatherBams</w:t>
      </w:r>
    </w:p>
    <w:p>
      <w:pPr>
        <w:pStyle w:val="BodyText"/>
      </w:pPr>
      <w:r>
        <w:t xml:space="preserve">We also need a task to gather all the BAMs together, which takes in an array of Files, and ouputs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1"/>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8" w:name="fig4"/>
      <w:r>
        <w:t xml:space="preserve">Figure </w:t>
      </w:r>
      <w:fldSimple w:instr="SEQ Figure \* ARABIC ">
        <w:r>
          <w:t>4</w:t>
        </w:r>
      </w:fldSimple>
      <w:r>
        <w:t xml:space="preserve">:</w:t>
      </w:r>
      <w:r>
        <w:t xml:space="preserve"> </w:t>
      </w:r>
      <w:bookmarkEnd w:id="138"/>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br/>
      </w:r>
      <w:r>
        <w:rPr>
          <w:rStyle w:val="VerbatimChar"/>
        </w:rPr>
        <w:t xml:space="preserve">    #Chromosomes to scatter over</w:t>
      </w:r>
      <w:r>
        <w:br/>
      </w:r>
      <w:r>
        <w:rPr>
          <w:rStyle w:val="VerbatimChar"/>
        </w:rPr>
        <w:t xml:space="preserve">    Array[String] chrs_to_split = ["12", "7"]</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#Split by chromosomes</w:t>
      </w:r>
      <w:r>
        <w:br/>
      </w:r>
      <w:r>
        <w:rPr>
          <w:rStyle w:val="VerbatimChar"/>
        </w:rPr>
        <w:t xml:space="preserve">    call splitBamByChr as normalSplitBamByChr {</w:t>
      </w:r>
      <w:r>
        <w:br/>
      </w:r>
      <w:r>
        <w:rPr>
          <w:rStyle w:val="VerbatimChar"/>
        </w:rPr>
        <w:t xml:space="preserve">      input:</w:t>
      </w:r>
      <w:r>
        <w:br/>
      </w:r>
      <w:r>
        <w:rPr>
          <w:rStyle w:val="VerbatimChar"/>
        </w:rPr>
        <w:t xml:space="preserve">        bamToSplit = normalMarkDuplicates.markDuplicates_bam,</w:t>
      </w:r>
      <w:r>
        <w:br/>
      </w:r>
      <w:r>
        <w:rPr>
          <w:rStyle w:val="VerbatimChar"/>
        </w:rPr>
        <w:t xml:space="preserve">        baiToSplit = normalMarkDuplicates.markDuplicates_bai,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range(length(normalSplitBamByChr.indexFiles))) {</w:t>
      </w:r>
      <w:r>
        <w:br/>
      </w:r>
      <w:r>
        <w:rPr>
          <w:rStyle w:val="VerbatimChar"/>
        </w:rPr>
        <w:t xml:space="preserve">      File normalSubBam = normalSplitBamByChr.bams[i]</w:t>
      </w:r>
      <w:r>
        <w:br/>
      </w:r>
      <w:r>
        <w:rPr>
          <w:rStyle w:val="VerbatimChar"/>
        </w:rPr>
        <w:t xml:space="preserve">      File normalSubBamIndex = normalSplitBamByChr.indexFiles[i]</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normalSubBam,</w:t>
      </w:r>
      <w:r>
        <w:br/>
      </w:r>
      <w:r>
        <w:rPr>
          <w:rStyle w:val="VerbatimChar"/>
        </w:rPr>
        <w:t xml:space="preserve">          input_bam_index = normalSubBamIndex,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normalGatherBams {</w:t>
      </w:r>
      <w:r>
        <w:br/>
      </w:r>
      <w:r>
        <w:rPr>
          <w:rStyle w:val="VerbatimChar"/>
        </w:rPr>
        <w:t xml:space="preserve">      input:</w:t>
      </w:r>
      <w:r>
        <w:br/>
      </w:r>
      <w:r>
        <w:rPr>
          <w:rStyle w:val="VerbatimChar"/>
        </w:rPr>
        <w:t xml:space="preserve">        bams = normalApplyBaseRecalibrator.recalibrated_bam,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tumorGatherBams.merged_bam,</w:t>
      </w:r>
      <w:r>
        <w:br/>
      </w:r>
      <w:r>
        <w:rPr>
          <w:rStyle w:val="VerbatimChar"/>
        </w:rPr>
        <w:t xml:space="preserve">        tumor_bam_index = tumorGatherBams.merged_bai,</w:t>
      </w:r>
      <w:r>
        <w:br/>
      </w:r>
      <w:r>
        <w:rPr>
          <w:rStyle w:val="VerbatimChar"/>
        </w:rPr>
        <w:t xml:space="preserve">        normal_bam = normalGatherBams.merged_bam,</w:t>
      </w:r>
      <w:r>
        <w:br/>
      </w:r>
      <w:r>
        <w:rPr>
          <w:rStyle w:val="VerbatimChar"/>
        </w:rPr>
        <w:t xml:space="preserve">        normal_bam_index = normalGatherBams.merged_bai,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tumorGatherBams.merged_bam</w:t>
      </w:r>
      <w:r>
        <w:br/>
      </w:r>
      <w:r>
        <w:rPr>
          <w:rStyle w:val="VerbatimChar"/>
        </w:rPr>
        <w:t xml:space="preserve">    Array[File] tumoranalysisReadyIndex = tumorGatherBams.merged_bai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normalGatherBams.merged_bam</w:t>
      </w:r>
      <w:r>
        <w:br/>
      </w:r>
      <w:r>
        <w:rPr>
          <w:rStyle w:val="VerbatimChar"/>
        </w:rPr>
        <w:t xml:space="preserve">    Array[File] normalanalysisReadyIndex = normalGatherBams.merged_bai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r>
        <w:br/>
      </w:r>
      <w:r>
        <w:br/>
      </w: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r>
        <w:br/>
      </w:r>
      <w:r>
        <w:rPr>
          <w:rStyle w:val="VerbatimChar"/>
        </w:rPr>
        <w:t xml:space="preserve">}</w:t>
      </w:r>
      <w:r>
        <w:br/>
      </w:r>
      <w:r>
        <w:br/>
      </w: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Loading…</w:t>
      </w:r>
    </w:p>
    <w:bookmarkEnd w:id="139"/>
    <w:bookmarkEnd w:id="140"/>
    <w:bookmarkStart w:id="162"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1"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1"/>
    <w:bookmarkStart w:id="142"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2"/>
    <w:bookmarkStart w:id="149" w:name="executor-specific-notes"/>
    <w:p>
      <w:pPr>
        <w:pStyle w:val="Heading2"/>
      </w:pPr>
      <w:r>
        <w:rPr>
          <w:rStyle w:val="SectionNumber"/>
        </w:rPr>
        <w:t xml:space="preserve">10.3</w:t>
      </w:r>
      <w:r>
        <w:tab/>
      </w:r>
      <w:r>
        <w:t xml:space="preserve">Executor-specific notes</w:t>
      </w:r>
    </w:p>
    <w:bookmarkStart w:id="146"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3">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44">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45">
        <w:r>
          <w:rPr>
            <w:rStyle w:val="Hyperlink"/>
          </w:rPr>
          <w:t xml:space="preserve">hog factors</w:t>
        </w:r>
      </w:hyperlink>
      <w:r>
        <w:t xml:space="preserve"> </w:t>
      </w:r>
      <w:r>
        <w:t xml:space="preserve">to adjust how task order is prioritized.</w:t>
      </w:r>
    </w:p>
    <w:bookmarkEnd w:id="146"/>
    <w:bookmarkStart w:id="148"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47">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48"/>
    <w:bookmarkEnd w:id="149"/>
    <w:bookmarkStart w:id="161" w:name="backend-specific-notes"/>
    <w:p>
      <w:pPr>
        <w:pStyle w:val="Heading2"/>
      </w:pPr>
      <w:r>
        <w:rPr>
          <w:rStyle w:val="SectionNumber"/>
        </w:rPr>
        <w:t xml:space="preserve">10.4</w:t>
      </w:r>
      <w:r>
        <w:tab/>
      </w:r>
      <w:r>
        <w:t xml:space="preserve">Backend-specific notes</w:t>
      </w:r>
    </w:p>
    <w:bookmarkStart w:id="157"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56" w:name="fred-hutch-hpc"/>
    <w:p>
      <w:pPr>
        <w:pStyle w:val="Heading4"/>
      </w:pPr>
      <w:r>
        <w:rPr>
          <w:rStyle w:val="SectionNumber"/>
        </w:rPr>
        <w:t xml:space="preserve">10.4.1.1</w:t>
      </w:r>
      <w:r>
        <w:tab/>
      </w:r>
      <w:r>
        <w:t xml:space="preserve">Fred Hutch HPC</w:t>
      </w:r>
    </w:p>
    <w:p>
      <w:pPr>
        <w:numPr>
          <w:ilvl w:val="0"/>
          <w:numId w:val="1018"/>
        </w:numPr>
      </w:pPr>
      <w:hyperlink r:id="rId150">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1">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2">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3">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54">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55">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56"/>
    <w:bookmarkEnd w:id="157"/>
    <w:bookmarkStart w:id="160"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58"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58"/>
    <w:bookmarkStart w:id="159"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59"/>
    <w:bookmarkEnd w:id="160"/>
    <w:bookmarkEnd w:id="161"/>
    <w:bookmarkEnd w:id="162"/>
    <w:bookmarkStart w:id="169" w:name="about-the-authors"/>
    <w:p>
      <w:pPr>
        <w:pStyle w:val="Heading1"/>
      </w:pPr>
      <w:r>
        <w:t xml:space="preserve">About the Authors</w:t>
      </w:r>
    </w:p>
    <w:p>
      <w:pPr>
        <w:pStyle w:val="FirstParagraph"/>
      </w:pPr>
      <w:r>
        <w:t xml:space="preserve">These credits are based on our</w:t>
      </w:r>
      <w:r>
        <w:t xml:space="preserve"> </w:t>
      </w:r>
      <w:hyperlink r:id="rId16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64">
              <w:r>
                <w:rPr>
                  <w:rStyle w:val="Hyperlink"/>
                </w:rPr>
                <w:t xml:space="preserve">Candace Savonen</w:t>
              </w:r>
            </w:hyperlink>
            <w:r>
              <w:t xml:space="preserve">,</w:t>
            </w:r>
            <w:r>
              <w:t xml:space="preserve"> </w:t>
            </w:r>
            <w:hyperlink r:id="rId165">
              <w:r>
                <w:rPr>
                  <w:rStyle w:val="Hyperlink"/>
                </w:rPr>
                <w:t xml:space="preserve">Carrie Wright</w:t>
              </w:r>
            </w:hyperlink>
            <w:r>
              <w:t xml:space="preserve">,</w:t>
            </w:r>
            <w:r>
              <w:t xml:space="preserve"> </w:t>
            </w:r>
            <w:hyperlink r:id="rId1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5">
              <w:r>
                <w:rPr>
                  <w:rStyle w:val="Hyperlink"/>
                </w:rPr>
                <w:t xml:space="preserve">Carrie Wright</w:t>
              </w:r>
            </w:hyperlink>
            <w:r>
              <w:t xml:space="preserve">,</w:t>
            </w:r>
            <w:r>
              <w:t xml:space="preserve"> </w:t>
            </w:r>
            <w:hyperlink r:id="rId166">
              <w:r>
                <w:rPr>
                  <w:rStyle w:val="Hyperlink"/>
                </w:rPr>
                <w:t xml:space="preserve">Ava Hoffman</w:t>
              </w:r>
            </w:hyperlink>
            <w:r>
              <w:t xml:space="preserve">,</w:t>
            </w:r>
            <w:r>
              <w:t xml:space="preserve"> </w:t>
            </w:r>
            <w:hyperlink r:id="rId164">
              <w:r>
                <w:rPr>
                  <w:rStyle w:val="Hyperlink"/>
                </w:rPr>
                <w:t xml:space="preserve">Candace Savonen</w:t>
              </w:r>
            </w:hyperlink>
          </w:p>
        </w:tc>
      </w:tr>
      <w:tr>
        <w:tc>
          <w:tcPr/>
          <w:p>
            <w:pPr>
              <w:pStyle w:val="Compact"/>
              <w:jc w:val="left"/>
            </w:pPr>
            <w:r>
              <w:t xml:space="preserve">Package Developers (</w:t>
            </w:r>
            <w:hyperlink r:id="rId167">
              <w:r>
                <w:rPr>
                  <w:rStyle w:val="Hyperlink"/>
                </w:rPr>
                <w:t xml:space="preserve">ottrpal</w:t>
              </w:r>
            </w:hyperlink>
            <w:r>
              <w:t xml:space="preserve">)</w:t>
            </w:r>
            <w:r>
              <w:t xml:space="preserve"> </w:t>
            </w:r>
            <w:hyperlink r:id="rId164">
              <w:r>
                <w:rPr>
                  <w:rStyle w:val="Hyperlink"/>
                </w:rPr>
                <w:t xml:space="preserve">Candace Savonen</w:t>
              </w:r>
            </w:hyperlink>
            <w:r>
              <w:t xml:space="preserve">,</w:t>
            </w:r>
            <w:r>
              <w:t xml:space="preserve"> </w:t>
            </w:r>
            <w:hyperlink r:id="rId168">
              <w:r>
                <w:rPr>
                  <w:rStyle w:val="Hyperlink"/>
                </w:rPr>
                <w:t xml:space="preserve">John Muschelli</w:t>
              </w:r>
            </w:hyperlink>
            <w:r>
              <w:t xml:space="preserve">,</w:t>
            </w:r>
            <w:r>
              <w:t xml:space="preserve"> </w:t>
            </w:r>
            <w:hyperlink r:id="rId16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69"/>
    <w:bookmarkStart w:id="170" w:name="references"/>
    <w:p>
      <w:pPr>
        <w:pStyle w:val="Heading1"/>
      </w:pPr>
      <w:r>
        <w:rPr>
          <w:rStyle w:val="SectionNumber"/>
        </w:rPr>
        <w:t xml:space="preserve">11</w:t>
      </w:r>
      <w:r>
        <w:tab/>
      </w:r>
      <w:r>
        <w:t xml:space="preserve">References</w:t>
      </w:r>
    </w:p>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36" Target="media/rId136.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hyperlink" Id="rId54" Target="assets/WDL_101_Course.png" TargetMode="External" /><Relationship Type="http://schemas.openxmlformats.org/officeDocument/2006/relationships/hyperlink" Id="rId16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5" Target="https://cromwell.readthedocs.io/en/stable/cromwell_features/HogFactors/" TargetMode="External" /><Relationship Type="http://schemas.openxmlformats.org/officeDocument/2006/relationships/hyperlink" Id="rId80" Target="https://docker-curriculum.com/#introduction" TargetMode="External" /><Relationship Type="http://schemas.openxmlformats.org/officeDocument/2006/relationships/hyperlink" Id="rId79"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4"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2"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63" Target="https://figshare.com/articles/dataset/WDL_101_Dataset/25447528" TargetMode="External" /><Relationship Type="http://schemas.openxmlformats.org/officeDocument/2006/relationships/hyperlink" Id="rId133"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71" Target="https://github.com/brentp/goleft/blob/fa6b00d20d1f73a068ffbab49a5769d173cae56d/covstats/covstats.go#L239" TargetMode="External" /><Relationship Type="http://schemas.openxmlformats.org/officeDocument/2006/relationships/hyperlink" Id="rId70" Target="https://github.com/brentp/goleft/tree/master/covstats" TargetMode="External" /><Relationship Type="http://schemas.openxmlformats.org/officeDocument/2006/relationships/hyperlink" Id="rId143"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7"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6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6"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7" Target="https://github.com/openwdl/wdl/blob/main/versions/1.1/SPEC.md#runtime-section" TargetMode="External" /><Relationship Type="http://schemas.openxmlformats.org/officeDocument/2006/relationships/hyperlink" Id="rId78" Target="https://hub.docker.com/search?q=" TargetMode="External" /><Relationship Type="http://schemas.openxmlformats.org/officeDocument/2006/relationships/hyperlink" Id="rId116" Target="https://hutchdatascience.org/WDL_Workflows_Guide/defining-a-workflow-plan.html" TargetMode="External" /><Relationship Type="http://schemas.openxmlformats.org/officeDocument/2006/relationships/hyperlink" Id="rId16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0"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4" Target="https://sciwiki.fredhutch.org/compdemos/gizmo_partition_index/" TargetMode="External" /><Relationship Type="http://schemas.openxmlformats.org/officeDocument/2006/relationships/hyperlink" Id="rId151" Target="https://sciwiki.fredhutch.org/dasldemos/proof-how-to/" TargetMode="External" /><Relationship Type="http://schemas.openxmlformats.org/officeDocument/2006/relationships/hyperlink" Id="rId155" Target="https://sciwiki.fredhutch.org/scicomputing/compute_environments/" TargetMode="External" /><Relationship Type="http://schemas.openxmlformats.org/officeDocument/2006/relationships/hyperlink" Id="rId152" Target="https://sciwiki.fredhutch.org/scicomputing/compute_jobs/#memory" TargetMode="External" /><Relationship Type="http://schemas.openxmlformats.org/officeDocument/2006/relationships/hyperlink" Id="rId153" Target="https://sciwiki.fredhutch.org/scicomputing/compute_jobs/#wall-time" TargetMode="External" /><Relationship Type="http://schemas.openxmlformats.org/officeDocument/2006/relationships/hyperlink" Id="rId67"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6" Target="https://www.avahoffman.com/" TargetMode="External" /><Relationship Type="http://schemas.openxmlformats.org/officeDocument/2006/relationships/hyperlink" Id="rId164" Target="https://www.cansavvy.com/" TargetMode="External" /><Relationship Type="http://schemas.openxmlformats.org/officeDocument/2006/relationships/hyperlink" Id="rId69" Target="https://www.ibm.com/docs/en/zos/3.1.0?topic=directories-working-directory" TargetMode="External" /><Relationship Type="http://schemas.openxmlformats.org/officeDocument/2006/relationships/hyperlink" Id="rId163"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6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5" Target="https://cromwell.readthedocs.io/en/stable/cromwell_features/HogFactors/" TargetMode="External" /><Relationship Type="http://schemas.openxmlformats.org/officeDocument/2006/relationships/hyperlink" Id="rId80" Target="https://docker-curriculum.com/#introduction" TargetMode="External" /><Relationship Type="http://schemas.openxmlformats.org/officeDocument/2006/relationships/hyperlink" Id="rId79"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4"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2"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63" Target="https://figshare.com/articles/dataset/WDL_101_Dataset/25447528" TargetMode="External" /><Relationship Type="http://schemas.openxmlformats.org/officeDocument/2006/relationships/hyperlink" Id="rId133"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71" Target="https://github.com/brentp/goleft/blob/fa6b00d20d1f73a068ffbab49a5769d173cae56d/covstats/covstats.go#L239" TargetMode="External" /><Relationship Type="http://schemas.openxmlformats.org/officeDocument/2006/relationships/hyperlink" Id="rId70" Target="https://github.com/brentp/goleft/tree/master/covstats" TargetMode="External" /><Relationship Type="http://schemas.openxmlformats.org/officeDocument/2006/relationships/hyperlink" Id="rId143"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7"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6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6"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7" Target="https://github.com/openwdl/wdl/blob/main/versions/1.1/SPEC.md#runtime-section" TargetMode="External" /><Relationship Type="http://schemas.openxmlformats.org/officeDocument/2006/relationships/hyperlink" Id="rId78" Target="https://hub.docker.com/search?q=" TargetMode="External" /><Relationship Type="http://schemas.openxmlformats.org/officeDocument/2006/relationships/hyperlink" Id="rId116" Target="https://hutchdatascience.org/WDL_Workflows_Guide/defining-a-workflow-plan.html" TargetMode="External" /><Relationship Type="http://schemas.openxmlformats.org/officeDocument/2006/relationships/hyperlink" Id="rId16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0"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4" Target="https://sciwiki.fredhutch.org/compdemos/gizmo_partition_index/" TargetMode="External" /><Relationship Type="http://schemas.openxmlformats.org/officeDocument/2006/relationships/hyperlink" Id="rId151" Target="https://sciwiki.fredhutch.org/dasldemos/proof-how-to/" TargetMode="External" /><Relationship Type="http://schemas.openxmlformats.org/officeDocument/2006/relationships/hyperlink" Id="rId155" Target="https://sciwiki.fredhutch.org/scicomputing/compute_environments/" TargetMode="External" /><Relationship Type="http://schemas.openxmlformats.org/officeDocument/2006/relationships/hyperlink" Id="rId152" Target="https://sciwiki.fredhutch.org/scicomputing/compute_jobs/#memory" TargetMode="External" /><Relationship Type="http://schemas.openxmlformats.org/officeDocument/2006/relationships/hyperlink" Id="rId153" Target="https://sciwiki.fredhutch.org/scicomputing/compute_jobs/#wall-time" TargetMode="External" /><Relationship Type="http://schemas.openxmlformats.org/officeDocument/2006/relationships/hyperlink" Id="rId67"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6" Target="https://www.avahoffman.com/" TargetMode="External" /><Relationship Type="http://schemas.openxmlformats.org/officeDocument/2006/relationships/hyperlink" Id="rId164" Target="https://www.cansavvy.com/" TargetMode="External" /><Relationship Type="http://schemas.openxmlformats.org/officeDocument/2006/relationships/hyperlink" Id="rId69" Target="https://www.ibm.com/docs/en/zos/3.1.0?topic=directories-working-directory" TargetMode="External" /><Relationship Type="http://schemas.openxmlformats.org/officeDocument/2006/relationships/hyperlink" Id="rId163"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2024-05-10T20:43:48Z</dcterms:created>
  <dcterms:modified xsi:type="dcterms:W3CDTF">2024-05-10T20:43:48Z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