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267"/>
        <w:gridCol w:w="2534"/>
        <w:gridCol w:w="1900"/>
        <w:gridCol w:w="2217"/>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w:t>
            </w:r>
            <w:r>
              <w:t xml:space="preserve">) file</w:t>
            </w:r>
          </w:p>
        </w:tc>
        <w:tc>
          <w:tcPr/>
          <w:p>
            <w:pPr>
              <w:pStyle w:val="Compact"/>
              <w:jc w:val="left"/>
            </w:pPr>
            <w:r>
              <w:rPr>
                <w:rStyle w:val="VerbatimChar"/>
              </w:rPr>
              <w:t xml:space="preserve">.bam</w:t>
            </w:r>
            <w:r>
              <w:t xml:space="preserve"> </w:t>
            </w:r>
            <w:r>
              <w:t xml:space="preserve">file</w:t>
            </w:r>
          </w:p>
        </w:tc>
      </w:tr>
      <w:tr>
        <w:tc>
          <w:tcPr/>
          <w:p>
            <w:pPr>
              <w:pStyle w:val="Compact"/>
              <w:jc w:val="left"/>
            </w:pPr>
            <w:r>
              <w:rPr>
                <w:rStyle w:val="VerbatimChar"/>
              </w:rPr>
              <w:t xml:space="preserve">MarkDuplicates|marks PCR duplicates|</w:t>
            </w:r>
            <w:r>
              <w:t xml:space="preserve">.bam</w:t>
            </w:r>
            <w:r>
              <w:rPr>
                <w:rStyle w:val="VerbatimChar"/>
              </w:rPr>
              <w:t xml:space="preserve">file|marked</w:t>
            </w:r>
            <w:r>
              <w:t xml:space="preserve">.bam</w:t>
            </w:r>
            <w:r>
              <w:rPr>
                <w:rStyle w:val="VerbatimChar"/>
              </w:rPr>
              <w:t xml:space="preserve">file| |</w:t>
            </w:r>
            <w:r>
              <w:t xml:space="preserve">ApplyBaseRecalibrator</w:t>
            </w:r>
            <w:r>
              <w:rPr>
                <w:rStyle w:val="VerbatimChar"/>
              </w:rPr>
              <w:t xml:space="preserve">|performs base quality recalibration|marked</w:t>
            </w:r>
            <w:r>
              <w:t xml:space="preserve">.bam</w:t>
            </w:r>
            <w:r>
              <w:rPr>
                <w:rStyle w:val="VerbatimChar"/>
              </w:rPr>
              <w:t xml:space="preserve">file|</w:t>
            </w:r>
            <w:r>
              <w:t xml:space="preserve">.bam</w:t>
            </w:r>
            <w:r>
              <w:rPr>
                <w:rStyle w:val="VerbatimChar"/>
              </w:rPr>
              <w:t xml:space="preserve">file| |</w:t>
            </w:r>
            <w:r>
              <w:t xml:space="preserve">Mutect2</w:t>
            </w:r>
            <w:r>
              <w:rPr>
                <w:rStyle w:val="VerbatimChar"/>
              </w:rPr>
              <w:t xml:space="preserve">|performs paired somatic mutation calling|</w:t>
            </w:r>
            <w:r>
              <w:t xml:space="preserve">.bam</w:t>
            </w:r>
            <w:r>
              <w:rPr>
                <w:rStyle w:val="VerbatimChar"/>
              </w:rPr>
              <w:t xml:space="preserve">file|</w:t>
            </w:r>
            <w:r>
              <w:t xml:space="preserve">.vcf</w:t>
            </w:r>
            <w:r>
              <w:rPr>
                <w:rStyle w:val="VerbatimChar"/>
              </w:rPr>
              <w:t xml:space="preserve">file| |</w:t>
            </w:r>
            <w:r>
              <w:t xml:space="preserve">annovar</w:t>
            </w:r>
            <w:r>
              <w:rPr>
                <w:rStyle w:val="VerbatimChar"/>
              </w:rPr>
              <w:t xml:space="preserve">|annotates the called somatic mutations|</w:t>
            </w:r>
            <w:r>
              <w:t xml:space="preserve">.vcf</w:t>
            </w:r>
            <w:r>
              <w:rPr>
                <w:rStyle w:val="VerbatimChar"/>
              </w:rPr>
              <w:t xml:space="preserve">file with somatic mutations|annotated</w:t>
            </w:r>
            <w:r>
              <w:t xml:space="preserve">.vcf` file</w:t>
            </w:r>
          </w:p>
        </w:tc>
        <w:tc>
          <w:tcPr/>
          <w:p>
            <w:pPr>
              <w:pStyle w:val="Compact"/>
            </w:pPr>
          </w:p>
        </w:tc>
        <w:tc>
          <w:tcPr/>
          <w:p>
            <w:pPr>
              <w:pStyle w:val="Compact"/>
            </w:pPr>
          </w:p>
        </w:tc>
        <w:tc>
          <w:tcPr/>
          <w:p>
            <w:pPr>
              <w:pStyle w:val="Compact"/>
            </w:pP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p>
      <w:pPr>
        <w:pStyle w:val="BodyText"/>
      </w:pPr>
      <w:r>
        <w:t xml:space="preserve">Loading…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p>
      <w:pPr>
        <w:pStyle w:val="BodyText"/>
      </w:pPr>
      <w:r>
        <w:t xml:space="preserve">Loading…</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of mutect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ref_name: "Reference genome name (hg19, hg37, etc.)"</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MarkDuplicates.markDuplicates_bam</w:t>
      </w:r>
      <w:r>
        <w:br/>
      </w:r>
      <w:r>
        <w:rPr>
          <w:rStyle w:val="VerbatimChar"/>
        </w:rPr>
        <w:t xml:space="preserve">    Array[File] tumorMarkDuplicates_bai = MarkDuplicates.markDuplicates_bai</w:t>
      </w:r>
      <w:r>
        <w:br/>
      </w:r>
      <w:r>
        <w:rPr>
          <w:rStyle w:val="VerbatimChar"/>
        </w:rPr>
        <w:t xml:space="preserve">    Array[File] tumoranalysisReadyBam = ApplyBaseRecalibrator.recalibrated_bam </w:t>
      </w:r>
      <w:r>
        <w:br/>
      </w:r>
      <w:r>
        <w:rPr>
          <w:rStyle w:val="VerbatimChar"/>
        </w:rPr>
        <w:t xml:space="preserve">    Array[File] tumoranalysisReadyIndex = ApplyBaseRecalibrator.recalibrated_bai</w:t>
      </w:r>
      <w:r>
        <w:br/>
      </w:r>
      <w:r>
        <w:rPr>
          <w:rStyle w:val="VerbatimChar"/>
        </w:rPr>
        <w:t xml:space="preserve">    Array[File] Mutect_Vcf = Mutect2TumorOnly.output_vcf</w:t>
      </w:r>
      <w:r>
        <w:br/>
      </w:r>
      <w:r>
        <w:rPr>
          <w:rStyle w:val="VerbatimChar"/>
        </w:rPr>
        <w:t xml:space="preserve">    Array[File] Mutect_VcfIndex = Mutect2TumorOnly.output_vcf_index</w:t>
      </w:r>
      <w:r>
        <w:br/>
      </w:r>
      <w:r>
        <w:rPr>
          <w:rStyle w:val="VerbatimChar"/>
        </w:rPr>
        <w:t xml:space="preserve">    Array[File] Mutect_AnnotatedVcf = annovar.output_annotated_vcf</w:t>
      </w:r>
      <w:r>
        <w:br/>
      </w:r>
      <w:r>
        <w:rPr>
          <w:rStyle w:val="VerbatimChar"/>
        </w:rPr>
        <w:t xml:space="preserve">    Array[File]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2"/>
    <w:bookmarkEnd w:id="113"/>
    <w:bookmarkStart w:id="119"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4"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4"/>
    <w:bookmarkStart w:id="115"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5"/>
    <w:bookmarkStart w:id="116"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6"/>
    <w:bookmarkStart w:id="117"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7"/>
    <w:bookmarkStart w:id="118"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8"/>
    <w:bookmarkEnd w:id="119"/>
    <w:bookmarkStart w:id="125"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0"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0"/>
    <w:bookmarkStart w:id="123"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1"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1"/>
    <w:bookmarkStart w:id="122"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2"/>
    <w:bookmarkEnd w:id="123"/>
    <w:bookmarkStart w:id="124"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4"/>
    <w:bookmarkEnd w:id="125"/>
    <w:bookmarkStart w:id="147" w:name="appendix-backends-and-executors"/>
    <w:p>
      <w:pPr>
        <w:pStyle w:val="Heading1"/>
      </w:pPr>
      <w:r>
        <w:rPr>
          <w:rStyle w:val="SectionNumber"/>
        </w:rPr>
        <w:t xml:space="preserve">9</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26" w:name="commonly-used-runtime-attributes"/>
    <w:p>
      <w:pPr>
        <w:pStyle w:val="Heading2"/>
      </w:pPr>
      <w:r>
        <w:rPr>
          <w:rStyle w:val="SectionNumber"/>
        </w:rPr>
        <w:t xml:space="preserve">9.1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26"/>
    <w:bookmarkStart w:id="127" w:name="general-advice"/>
    <w:p>
      <w:pPr>
        <w:pStyle w:val="Heading2"/>
      </w:pPr>
      <w:r>
        <w:rPr>
          <w:rStyle w:val="SectionNumber"/>
        </w:rPr>
        <w:t xml:space="preserve">9.2</w:t>
      </w:r>
      <w:r>
        <w:tab/>
      </w:r>
      <w:r>
        <w:t xml:space="preserve">General advice</w:t>
      </w:r>
    </w:p>
    <w:p>
      <w:pPr>
        <w:numPr>
          <w:ilvl w:val="0"/>
          <w:numId w:val="1012"/>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2"/>
        </w:numPr>
        <w:pStyle w:val="Compact"/>
      </w:pPr>
      <w:r>
        <w:t xml:space="preserve">The Dockstore CLI, as of v1.15, uses Cromwell to run WDLs. Advice about Cromwell will therefore also apply to the Dockstore CLI.</w:t>
      </w:r>
    </w:p>
    <w:p>
      <w:pPr>
        <w:numPr>
          <w:ilvl w:val="0"/>
          <w:numId w:val="1012"/>
        </w:numPr>
        <w:pStyle w:val="Compact"/>
      </w:pPr>
      <w:r>
        <w:t xml:space="preserve">If running a workflow with a scattered task on a local compute, consider using miniwdl instead of Cromwell.</w:t>
      </w:r>
    </w:p>
    <w:p>
      <w:pPr>
        <w:numPr>
          <w:ilvl w:val="0"/>
          <w:numId w:val="1012"/>
        </w:numPr>
        <w:pStyle w:val="Compact"/>
      </w:pPr>
      <w:r>
        <w:t xml:space="preserve">Whether you are using miniwdl or Cromwell locally, make sure Docker has enough resources to be able to download and run the Docker images specified in your WDL tasks.</w:t>
      </w:r>
    </w:p>
    <w:p>
      <w:pPr>
        <w:numPr>
          <w:ilvl w:val="0"/>
          <w:numId w:val="1012"/>
        </w:numPr>
        <w:pStyle w:val="Compact"/>
      </w:pPr>
      <w:r>
        <w:t xml:space="preserve">Workflow systems with a UI like Terra may become unresponsive if you run a task scattered more than 1000x. Outputs may need to be interacted with using an API specific to that backend.</w:t>
      </w:r>
    </w:p>
    <w:bookmarkEnd w:id="127"/>
    <w:bookmarkStart w:id="134" w:name="executor-specific-notes"/>
    <w:p>
      <w:pPr>
        <w:pStyle w:val="Heading2"/>
      </w:pPr>
      <w:r>
        <w:rPr>
          <w:rStyle w:val="SectionNumber"/>
        </w:rPr>
        <w:t xml:space="preserve">9.3</w:t>
      </w:r>
      <w:r>
        <w:tab/>
      </w:r>
      <w:r>
        <w:t xml:space="preserve">Executor-specific notes</w:t>
      </w:r>
    </w:p>
    <w:bookmarkStart w:id="131" w:name="cromwell"/>
    <w:p>
      <w:pPr>
        <w:pStyle w:val="Heading3"/>
      </w:pPr>
      <w:r>
        <w:rPr>
          <w:rStyle w:val="SectionNumber"/>
        </w:rPr>
        <w:t xml:space="preserve">9.3.1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28">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29">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3"/>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3"/>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3"/>
        </w:numPr>
      </w:pPr>
      <w:r>
        <w:t xml:space="preserve">Cromwell does not use call caching on most backends, but it is the default on Terra. For non-Terra backends, it can be enabled in the Cromwell configuration file.</w:t>
      </w:r>
    </w:p>
    <w:p>
      <w:pPr>
        <w:numPr>
          <w:ilvl w:val="0"/>
          <w:numId w:val="1013"/>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3"/>
        </w:numPr>
      </w:pPr>
      <w:r>
        <w:t xml:space="preserve">Generally speaking, Cromwell will be able to directly modify input files by default without causing permission errors, unlike miniwdl.</w:t>
      </w:r>
    </w:p>
    <w:p>
      <w:pPr>
        <w:numPr>
          <w:ilvl w:val="0"/>
          <w:numId w:val="1013"/>
        </w:numPr>
      </w:pPr>
      <w:r>
        <w:t xml:space="preserve">Cromwell uses a system known as</w:t>
      </w:r>
      <w:r>
        <w:t xml:space="preserve"> </w:t>
      </w:r>
      <w:hyperlink r:id="rId130">
        <w:r>
          <w:rPr>
            <w:rStyle w:val="Hyperlink"/>
          </w:rPr>
          <w:t xml:space="preserve">hog factors</w:t>
        </w:r>
      </w:hyperlink>
      <w:r>
        <w:t xml:space="preserve"> </w:t>
      </w:r>
      <w:r>
        <w:t xml:space="preserve">to adjust how task order is prioritized.</w:t>
      </w:r>
    </w:p>
    <w:bookmarkEnd w:id="131"/>
    <w:bookmarkStart w:id="133" w:name="miniwdl"/>
    <w:p>
      <w:pPr>
        <w:pStyle w:val="Heading3"/>
      </w:pPr>
      <w:r>
        <w:rPr>
          <w:rStyle w:val="SectionNumber"/>
        </w:rPr>
        <w:t xml:space="preserve">9.3.2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32">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4"/>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4"/>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4"/>
        </w:numPr>
      </w:pPr>
      <w:r>
        <w:t xml:space="preserve">miniwdl supports call caching, but it is turned off by default.</w:t>
      </w:r>
    </w:p>
    <w:p>
      <w:pPr>
        <w:numPr>
          <w:ilvl w:val="0"/>
          <w:numId w:val="1014"/>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4"/>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33"/>
    <w:bookmarkEnd w:id="134"/>
    <w:bookmarkStart w:id="146" w:name="backend-specific-notes"/>
    <w:p>
      <w:pPr>
        <w:pStyle w:val="Heading2"/>
      </w:pPr>
      <w:r>
        <w:rPr>
          <w:rStyle w:val="SectionNumber"/>
        </w:rPr>
        <w:t xml:space="preserve">9.4</w:t>
      </w:r>
      <w:r>
        <w:tab/>
      </w:r>
      <w:r>
        <w:t xml:space="preserve">Backend-specific notes</w:t>
      </w:r>
    </w:p>
    <w:bookmarkStart w:id="142" w:name="hpcs"/>
    <w:p>
      <w:pPr>
        <w:pStyle w:val="Heading3"/>
      </w:pPr>
      <w:r>
        <w:rPr>
          <w:rStyle w:val="SectionNumber"/>
        </w:rPr>
        <w:t xml:space="preserve">9.4.1</w:t>
      </w:r>
      <w:r>
        <w:tab/>
      </w:r>
      <w:r>
        <w:t xml:space="preserve">HPCs</w:t>
      </w:r>
    </w:p>
    <w:p>
      <w:pPr>
        <w:pStyle w:val="FirstParagraph"/>
      </w:pPr>
      <w:r>
        <w:t xml:space="preserve">It is difficult to provide specific advice on HPCs, as they can vary greatly. Some general notes:</w:t>
      </w:r>
    </w:p>
    <w:p>
      <w:pPr>
        <w:numPr>
          <w:ilvl w:val="0"/>
          <w:numId w:val="1015"/>
        </w:numPr>
      </w:pPr>
      <w:r>
        <w:t xml:space="preserve">Some HPCs do not support the use of Docker due to security concerns</w:t>
      </w:r>
    </w:p>
    <w:p>
      <w:pPr>
        <w:numPr>
          <w:ilvl w:val="1"/>
          <w:numId w:val="1016"/>
        </w:numPr>
        <w:pStyle w:val="Compact"/>
      </w:pPr>
      <w:r>
        <w:t xml:space="preserve">HPCs that do not allow the use of Docker may be able to run WDLs using alternative container technologies such as podman or rootless Docker</w:t>
      </w:r>
    </w:p>
    <w:p>
      <w:pPr>
        <w:numPr>
          <w:ilvl w:val="0"/>
          <w:numId w:val="1015"/>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41" w:name="fred-hutch-hpc"/>
    <w:p>
      <w:pPr>
        <w:pStyle w:val="Heading4"/>
      </w:pPr>
      <w:r>
        <w:rPr>
          <w:rStyle w:val="SectionNumber"/>
        </w:rPr>
        <w:t xml:space="preserve">9.4.1.1</w:t>
      </w:r>
      <w:r>
        <w:tab/>
      </w:r>
      <w:r>
        <w:t xml:space="preserve">Fred Hutch HPC</w:t>
      </w:r>
    </w:p>
    <w:p>
      <w:pPr>
        <w:numPr>
          <w:ilvl w:val="0"/>
          <w:numId w:val="1017"/>
        </w:numPr>
      </w:pPr>
      <w:hyperlink r:id="rId135">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36">
        <w:r>
          <w:rPr>
            <w:rStyle w:val="Hyperlink"/>
          </w:rPr>
          <w:t xml:space="preserve">here</w:t>
        </w:r>
      </w:hyperlink>
      <w:r>
        <w:t xml:space="preserve">.</w:t>
      </w:r>
    </w:p>
    <w:p>
      <w:pPr>
        <w:numPr>
          <w:ilvl w:val="0"/>
          <w:numId w:val="1017"/>
        </w:numPr>
      </w:pPr>
      <w:r>
        <w:t xml:space="preserve">The Fred Hutch HPC supports the use of multiple JSON files going into the same workflow</w:t>
      </w:r>
    </w:p>
    <w:p>
      <w:pPr>
        <w:numPr>
          <w:ilvl w:val="0"/>
          <w:numId w:val="1017"/>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7"/>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37">
        <w:r>
          <w:rPr>
            <w:rStyle w:val="Hyperlink"/>
          </w:rPr>
          <w:t xml:space="preserve">some information</w:t>
        </w:r>
      </w:hyperlink>
      <w:r>
        <w:t xml:space="preserve"> </w:t>
      </w:r>
      <w:r>
        <w:t xml:space="preserve">on approximating memory use.</w:t>
      </w:r>
    </w:p>
    <w:p>
      <w:pPr>
        <w:numPr>
          <w:ilvl w:val="0"/>
          <w:numId w:val="1017"/>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38">
        <w:r>
          <w:rPr>
            <w:rStyle w:val="Hyperlink"/>
          </w:rPr>
          <w:t xml:space="preserve">here</w:t>
        </w:r>
      </w:hyperlink>
      <w:r>
        <w:t xml:space="preserve">.</w:t>
      </w:r>
    </w:p>
    <w:p>
      <w:pPr>
        <w:numPr>
          <w:ilvl w:val="0"/>
          <w:numId w:val="1017"/>
        </w:numPr>
      </w:pPr>
      <w:r>
        <w:rPr>
          <w:rStyle w:val="VerbatimChar"/>
        </w:rPr>
        <w:t xml:space="preserve">partition</w:t>
      </w:r>
      <w:r>
        <w:t xml:space="preserve"> </w:t>
      </w:r>
      <w:r>
        <w:t xml:space="preserve">attribute specifies the</w:t>
      </w:r>
      <w:r>
        <w:t xml:space="preserve"> </w:t>
      </w:r>
      <w:hyperlink r:id="rId139">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7"/>
        </w:numPr>
      </w:pPr>
      <w:r>
        <w:rPr>
          <w:rStyle w:val="VerbatimChar"/>
        </w:rPr>
        <w:t xml:space="preserve">modules</w:t>
      </w:r>
      <w:r>
        <w:t xml:space="preserve"> </w:t>
      </w:r>
      <w:r>
        <w:t xml:space="preserve">attribute is a a space-separated list of the</w:t>
      </w:r>
      <w:r>
        <w:t xml:space="preserve"> </w:t>
      </w:r>
      <w:hyperlink r:id="rId140">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7"/>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41"/>
    <w:bookmarkEnd w:id="142"/>
    <w:bookmarkStart w:id="145" w:name="gcpterra"/>
    <w:p>
      <w:pPr>
        <w:pStyle w:val="Heading3"/>
      </w:pPr>
      <w:r>
        <w:rPr>
          <w:rStyle w:val="SectionNumber"/>
        </w:rPr>
        <w:t xml:space="preserve">9.4.2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43" w:name="preemptibles"/>
    <w:p>
      <w:pPr>
        <w:pStyle w:val="Heading4"/>
      </w:pPr>
      <w:r>
        <w:rPr>
          <w:rStyle w:val="SectionNumber"/>
        </w:rPr>
        <w:t xml:space="preserve">9.4.2.1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43"/>
    <w:bookmarkStart w:id="144" w:name="disk-space"/>
    <w:p>
      <w:pPr>
        <w:pStyle w:val="Heading4"/>
      </w:pPr>
      <w:r>
        <w:rPr>
          <w:rStyle w:val="SectionNumber"/>
        </w:rPr>
        <w:t xml:space="preserve">9.4.2.2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8"/>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8"/>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8"/>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44"/>
    <w:bookmarkEnd w:id="145"/>
    <w:bookmarkEnd w:id="146"/>
    <w:bookmarkEnd w:id="147"/>
    <w:bookmarkStart w:id="154"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49">
              <w:r>
                <w:rPr>
                  <w:rStyle w:val="Hyperlink"/>
                </w:rPr>
                <w:t xml:space="preserve">Candace Savonen</w:t>
              </w:r>
            </w:hyperlink>
            <w:r>
              <w:t xml:space="preserve">,</w:t>
            </w:r>
            <w:r>
              <w:t xml:space="preserve"> </w:t>
            </w:r>
            <w:hyperlink r:id="rId150">
              <w:r>
                <w:rPr>
                  <w:rStyle w:val="Hyperlink"/>
                </w:rPr>
                <w:t xml:space="preserve">Carrie Wright</w:t>
              </w:r>
            </w:hyperlink>
            <w:r>
              <w:t xml:space="preserve">,</w:t>
            </w:r>
            <w:r>
              <w:t xml:space="preserve"> </w:t>
            </w:r>
            <w:hyperlink r:id="rId1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0">
              <w:r>
                <w:rPr>
                  <w:rStyle w:val="Hyperlink"/>
                </w:rPr>
                <w:t xml:space="preserve">Carrie Wright</w:t>
              </w:r>
            </w:hyperlink>
            <w:r>
              <w:t xml:space="preserve">,</w:t>
            </w:r>
            <w:r>
              <w:t xml:space="preserve"> </w:t>
            </w:r>
            <w:hyperlink r:id="rId151">
              <w:r>
                <w:rPr>
                  <w:rStyle w:val="Hyperlink"/>
                </w:rPr>
                <w:t xml:space="preserve">Ava Hoffman</w:t>
              </w:r>
            </w:hyperlink>
            <w:r>
              <w:t xml:space="preserve">,</w:t>
            </w:r>
            <w:r>
              <w:t xml:space="preserve"> </w:t>
            </w:r>
            <w:hyperlink r:id="rId149">
              <w:r>
                <w:rPr>
                  <w:rStyle w:val="Hyperlink"/>
                </w:rPr>
                <w:t xml:space="preserve">Candace Savonen</w:t>
              </w:r>
            </w:hyperlink>
          </w:p>
        </w:tc>
      </w:tr>
      <w:tr>
        <w:tc>
          <w:tcPr/>
          <w:p>
            <w:pPr>
              <w:pStyle w:val="Compact"/>
              <w:jc w:val="left"/>
            </w:pPr>
            <w:r>
              <w:t xml:space="preserve">Package Developers (</w:t>
            </w:r>
            <w:hyperlink r:id="rId152">
              <w:r>
                <w:rPr>
                  <w:rStyle w:val="Hyperlink"/>
                </w:rPr>
                <w:t xml:space="preserve">ottrpal</w:t>
              </w:r>
            </w:hyperlink>
            <w:r>
              <w:t xml:space="preserve">)</w:t>
            </w:r>
            <w:r>
              <w:t xml:space="preserve"> </w:t>
            </w:r>
            <w:hyperlink r:id="rId149">
              <w:r>
                <w:rPr>
                  <w:rStyle w:val="Hyperlink"/>
                </w:rPr>
                <w:t xml:space="preserve">Candace Savonen</w:t>
              </w:r>
            </w:hyperlink>
            <w:r>
              <w:t xml:space="preserve">,</w:t>
            </w:r>
            <w:r>
              <w:t xml:space="preserve"> </w:t>
            </w:r>
            <w:hyperlink r:id="rId153">
              <w:r>
                <w:rPr>
                  <w:rStyle w:val="Hyperlink"/>
                </w:rPr>
                <w:t xml:space="preserve">John Muschelli</w:t>
              </w:r>
            </w:hyperlink>
            <w:r>
              <w:t xml:space="preserve">,</w:t>
            </w:r>
            <w:r>
              <w:t xml:space="preserve"> </w:t>
            </w:r>
            <w:hyperlink r:id="rId150">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4"/>
    <w:bookmarkStart w:id="155" w:name="references"/>
    <w:p>
      <w:pPr>
        <w:pStyle w:val="Heading1"/>
      </w:pPr>
      <w:r>
        <w:rPr>
          <w:rStyle w:val="SectionNumber"/>
        </w:rPr>
        <w:t xml:space="preserve">10</w:t>
      </w:r>
      <w:r>
        <w:tab/>
      </w:r>
      <w:r>
        <w:t xml:space="preserve">References</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50"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30"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9"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8"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32"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52"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53"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35"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9" Target="https://sciwiki.fredhutch.org/compdemos/gizmo_partition_index/" TargetMode="External" /><Relationship Type="http://schemas.openxmlformats.org/officeDocument/2006/relationships/hyperlink" Id="rId136" Target="https://sciwiki.fredhutch.org/dasldemos/proof-how-to/" TargetMode="External" /><Relationship Type="http://schemas.openxmlformats.org/officeDocument/2006/relationships/hyperlink" Id="rId140" Target="https://sciwiki.fredhutch.org/scicomputing/compute_environments/" TargetMode="External" /><Relationship Type="http://schemas.openxmlformats.org/officeDocument/2006/relationships/hyperlink" Id="rId137" Target="https://sciwiki.fredhutch.org/scicomputing/compute_jobs/#memory" TargetMode="External" /><Relationship Type="http://schemas.openxmlformats.org/officeDocument/2006/relationships/hyperlink" Id="rId138"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51" Target="https://www.avahoffman.com/" TargetMode="External" /><Relationship Type="http://schemas.openxmlformats.org/officeDocument/2006/relationships/hyperlink" Id="rId149"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2024-04-02T23:55:19Z</dcterms:created>
  <dcterms:modified xsi:type="dcterms:W3CDTF">2024-04-02T23:55:19Z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