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(Amazon Web Services),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9"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are two setup processes you need to do one time in order to customize how Cromwell runs for you.</w:t>
      </w:r>
    </w:p>
    <w:p>
      <w:pPr>
        <w:numPr>
          <w:ilvl w:val="0"/>
          <w:numId w:val="1001"/>
        </w:numPr>
        <w:pStyle w:val="Compact"/>
      </w:pPr>
      <w:r>
        <w:t xml:space="preserve">Database Setup</w:t>
      </w:r>
    </w:p>
    <w:p>
      <w:pPr>
        <w:numPr>
          <w:ilvl w:val="0"/>
          <w:numId w:val="1001"/>
        </w:numPr>
        <w:pStyle w:val="Compact"/>
      </w:pPr>
      <w:r>
        <w:t xml:space="preserve">Cromwell customization</w:t>
      </w:r>
    </w:p>
    <w:p>
      <w:pPr>
        <w:pStyle w:val="FirstParagraph"/>
      </w:pPr>
      <w:r>
        <w:t xml:space="preserve">This guide aims to help you get these two steps set up correctly so that in the future you can just run Cromwell directly.</w:t>
      </w:r>
    </w:p>
    <w:bookmarkStart w:id="28"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7"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w:t>
      </w:r>
      <w:r>
        <w:t xml:space="preserve"> </w:t>
      </w:r>
      <w:hyperlink r:id="rId26">
        <w:r>
          <w:rPr>
            <w:rStyle w:val="Hyperlink"/>
          </w:rPr>
          <w:t xml:space="preserve">set up your AWS credentials</w:t>
        </w:r>
      </w:hyperlink>
      <w:r>
        <w:t xml:space="preserve"> </w:t>
      </w:r>
      <w:r>
        <w:t xml:space="preserve">first.</w:t>
      </w:r>
      <w:r>
        <w:br/>
      </w:r>
      <w:r>
        <w:t xml:space="preserve">As of version 1.3 of the diy-cromwell-server configuration, if you have credentials, then the Cromwell server will be configured to allow input files to be directly specified using their AWS S3 url.</w:t>
      </w:r>
      <w:r>
        <w:br/>
      </w:r>
      <w:r>
        <w:t xml:space="preserve">However if you do not have AWS credentials or aren’t using data stored in AWS S3, then you don’t have to do anything.</w:t>
      </w:r>
    </w:p>
    <w:bookmarkEnd w:id="27"/>
    <w:bookmarkEnd w:id="28"/>
    <w:bookmarkStart w:id="33"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1"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using the following steps. This only needs to be done one time per user.</w:t>
      </w:r>
    </w:p>
    <w:p>
      <w:pPr>
        <w:numPr>
          <w:ilvl w:val="0"/>
          <w:numId w:val="1002"/>
        </w:numPr>
        <w:pStyle w:val="Compact"/>
      </w:pPr>
      <w:r>
        <w:t xml:space="preserve">Go to</w:t>
      </w:r>
      <w:r>
        <w:t xml:space="preserve"> </w:t>
      </w:r>
      <w:hyperlink r:id="rId29">
        <w:r>
          <w:rPr>
            <w:rStyle w:val="Hyperlink"/>
          </w:rPr>
          <w:t xml:space="preserve">DB4Sci</w:t>
        </w:r>
      </w:hyperlink>
      <w:r>
        <w:t xml:space="preserve"> </w:t>
      </w:r>
      <w:r>
        <w:t xml:space="preserve">and see the Wiki entry for DB4Sci</w:t>
      </w:r>
      <w:r>
        <w:t xml:space="preserve"> </w:t>
      </w:r>
      <w:hyperlink r:id="rId30">
        <w:r>
          <w:rPr>
            <w:rStyle w:val="Hyperlink"/>
          </w:rPr>
          <w:t xml:space="preserve">here</w:t>
        </w:r>
      </w:hyperlink>
      <w:r>
        <w:t xml:space="preserve">.</w:t>
      </w:r>
      <w:r>
        <w:br/>
      </w:r>
    </w:p>
    <w:p>
      <w:pPr>
        <w:numPr>
          <w:ilvl w:val="0"/>
          <w:numId w:val="1002"/>
        </w:numPr>
        <w:pStyle w:val="Compact"/>
      </w:pPr>
      <w:r>
        <w:t xml:space="preserve">Login using your Fred Hutch credentials</w:t>
      </w:r>
      <w:r>
        <w:t xml:space="preserve"> </w:t>
      </w:r>
    </w:p>
    <w:p>
      <w:pPr>
        <w:numPr>
          <w:ilvl w:val="0"/>
          <w:numId w:val="1002"/>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2"/>
        </w:numPr>
        <w:pStyle w:val="Compact"/>
      </w:pPr>
      <w:r>
        <w:t xml:space="preserve">Use the following:</w:t>
      </w:r>
    </w:p>
    <w:p>
      <w:pPr>
        <w:numPr>
          <w:ilvl w:val="1"/>
          <w:numId w:val="1003"/>
        </w:numPr>
        <w:pStyle w:val="Compact"/>
      </w:pPr>
      <w:r>
        <w:t xml:space="preserve">Your DB Username can be whatever you want</w:t>
      </w:r>
    </w:p>
    <w:p>
      <w:pPr>
        <w:numPr>
          <w:ilvl w:val="1"/>
          <w:numId w:val="1003"/>
        </w:numPr>
        <w:pStyle w:val="Compact"/>
      </w:pPr>
      <w:r>
        <w:t xml:space="preserve">Your DB Password should not be your Fred Hutch password</w:t>
      </w:r>
    </w:p>
    <w:p>
      <w:pPr>
        <w:numPr>
          <w:ilvl w:val="1"/>
          <w:numId w:val="1003"/>
        </w:numPr>
        <w:pStyle w:val="Compact"/>
      </w:pPr>
      <w:r>
        <w:t xml:space="preserve">Provide a Contact name and your fredhutch.org email</w:t>
      </w:r>
    </w:p>
    <w:p>
      <w:pPr>
        <w:numPr>
          <w:ilvl w:val="1"/>
          <w:numId w:val="1003"/>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3"/>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3"/>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2"/>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1"/>
    <w:bookmarkStart w:id="32"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 Again, this only needs to be done one time per user.</w:t>
      </w:r>
      <w:r>
        <w:t xml:space="preserve"> </w:t>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2"/>
    <w:bookmarkEnd w:id="33"/>
    <w:bookmarkStart w:id="37"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5"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This will look like this:</w:t>
      </w:r>
      <w:r>
        <w:t xml:space="preserve"> </w:t>
      </w:r>
    </w:p>
    <w:p>
      <w:pPr>
        <w:pStyle w:val="BodyText"/>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4">
        <w:r>
          <w:rPr>
            <w:rStyle w:val="Hyperlink"/>
          </w:rPr>
          <w:t xml:space="preserve">Question and Answer channel</w:t>
        </w:r>
      </w:hyperlink>
      <w:r>
        <w:t xml:space="preserve"> </w:t>
      </w:r>
      <w:r>
        <w:t xml:space="preserve">folks.</w:t>
      </w:r>
    </w:p>
    <w:bookmarkEnd w:id="35"/>
    <w:bookmarkStart w:id="36"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gizmob5:39071.  It can take up to 2 minutes prior to the port being open for use by the shiny app at https://cromwellapp.fredhutch.org or via the R package fh.wdlR.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IMPORTANT NOTE: Please write down the node and port it specifies here - in this example it’s</w:t>
      </w:r>
      <w:r>
        <w:t xml:space="preserve"> </w:t>
      </w:r>
      <w:r>
        <w:rPr>
          <w:rStyle w:val="VerbatimChar"/>
        </w:rPr>
        <w:t xml:space="preserve">gizmob5:39071</w:t>
      </w:r>
      <w:r>
        <w:t xml:space="preserve">, but yours will be a different combination.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6"/>
    <w:bookmarkEnd w:id="37"/>
    <w:bookmarkStart w:id="38"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8"/>
    <w:bookmarkEnd w:id="39"/>
    <w:bookmarkStart w:id="56"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40">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2" w:name="login"/>
    <w:p>
      <w:pPr>
        <w:pStyle w:val="Heading2"/>
      </w:pPr>
      <w:r>
        <w:rPr>
          <w:rStyle w:val="SectionNumber"/>
        </w:rPr>
        <w:t xml:space="preserve">3.1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w:t>
      </w:r>
      <w:r>
        <w:t xml:space="preserve"> </w:t>
      </w:r>
      <w:r>
        <w:t xml:space="preserve">“</w:t>
      </w:r>
      <w:r>
        <w:t xml:space="preserve">Connect to Server</w:t>
      </w:r>
      <w:r>
        <w:t xml:space="preserve">”</w:t>
      </w:r>
      <w:r>
        <w:t xml:space="preserve">, a box will appear where you will input the node:port combination you were assigned when you</w:t>
      </w:r>
      <w:r>
        <w:t xml:space="preserve"> </w:t>
      </w:r>
      <w:hyperlink r:id="rId41">
        <w:r>
          <w:rPr>
            <w:rStyle w:val="Hyperlink"/>
          </w:rPr>
          <w:t xml:space="preserve">started up your Cromwell server</w:t>
        </w:r>
      </w:hyperlink>
      <w:r>
        <w:t xml:space="preserve"> </w:t>
      </w:r>
      <w:r>
        <w:t xml:space="preserve">(it will look something like this:</w:t>
      </w:r>
      <w:r>
        <w:t xml:space="preserve"> </w:t>
      </w:r>
      <w:r>
        <w:rPr>
          <w:rStyle w:val="VerbatimChar"/>
        </w:rPr>
        <w:t xml:space="preserve">gizmob5:39071</w:t>
      </w:r>
      <w:r>
        <w:t xml:space="preserve">).</w:t>
      </w:r>
      <w:r>
        <w:t xml:space="preserve"> </w:t>
      </w:r>
    </w:p>
    <w:p>
      <w:pPr>
        <w:pStyle w:val="BodyText"/>
      </w:pPr>
      <w:r>
        <w:t xml:space="preserve">If your server is not ready to listen for workflows you may see this error:</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2"/>
    <w:bookmarkStart w:id="51" w:name="submit-jobs-tab"/>
    <w:p>
      <w:pPr>
        <w:pStyle w:val="Heading2"/>
      </w:pPr>
      <w:r>
        <w:rPr>
          <w:rStyle w:val="SectionNumber"/>
        </w:rPr>
        <w:t xml:space="preserve">3.2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 In this guide we’ll use a number of example workflows found in the</w:t>
      </w:r>
      <w:r>
        <w:t xml:space="preserve"> </w:t>
      </w:r>
      <w:r>
        <w:rPr>
          <w:rStyle w:val="VerbatimChar"/>
        </w:rPr>
        <w:t xml:space="preserve">diy-cromwell-server</w:t>
      </w:r>
      <w:r>
        <w:t xml:space="preserve"> </w:t>
      </w:r>
      <w:r>
        <w:t xml:space="preserve">folder you just</w:t>
      </w:r>
      <w:r>
        <w:t xml:space="preserve"> </w:t>
      </w:r>
      <w:hyperlink r:id="rId43">
        <w:r>
          <w:rPr>
            <w:rStyle w:val="Hyperlink"/>
          </w:rPr>
          <w:t xml:space="preserve">cloned</w:t>
        </w:r>
      </w:hyperlink>
      <w:r>
        <w:t xml:space="preserve"> </w:t>
      </w:r>
      <w:r>
        <w:t xml:space="preserve">from</w:t>
      </w:r>
      <w:r>
        <w:t xml:space="preserve"> </w:t>
      </w:r>
      <w:hyperlink r:id="rId44">
        <w:r>
          <w:rPr>
            <w:rStyle w:val="Hyperlink"/>
          </w:rPr>
          <w:t xml:space="preserve">GitHub</w:t>
        </w:r>
      </w:hyperlink>
      <w:r>
        <w:t xml:space="preserve">.</w:t>
      </w:r>
    </w:p>
    <w:p>
      <w:pPr>
        <w:pStyle w:val="BodyText"/>
      </w:pPr>
      <w:r>
        <w:t xml:space="preserve">Each of these example workflows is in a folder containing a WDL file (specifying the workflow itself), and any input files that you’ll need (in JSON format). There is</w:t>
      </w:r>
      <w:r>
        <w:t xml:space="preserve"> </w:t>
      </w:r>
      <w:hyperlink r:id="rId45">
        <w:r>
          <w:rPr>
            <w:rStyle w:val="Hyperlink"/>
          </w:rPr>
          <w:t xml:space="preserve">emerging documentation about the WDL specification itself being generated by the openWDL community here</w:t>
        </w:r>
      </w:hyperlink>
      <w:r>
        <w:t xml:space="preserve">. Also, there is some useful, though very detailed, information in the</w:t>
      </w:r>
      <w:r>
        <w:t xml:space="preserve"> </w:t>
      </w:r>
      <w:hyperlink r:id="rId46">
        <w:r>
          <w:rPr>
            <w:rStyle w:val="Hyperlink"/>
          </w:rPr>
          <w:t xml:space="preserve">openWDL GitHub repo for the specification itself where you can learn more</w:t>
        </w:r>
      </w:hyperlink>
      <w:r>
        <w:t xml:space="preserve">.</w:t>
      </w:r>
    </w:p>
    <w:bookmarkStart w:id="47" w:name="validate-a-workflow"/>
    <w:p>
      <w:pPr>
        <w:pStyle w:val="Heading3"/>
      </w:pPr>
      <w:r>
        <w:rPr>
          <w:rStyle w:val="SectionNumber"/>
        </w:rPr>
        <w:t xml:space="preserve">3.2.1</w:t>
      </w:r>
      <w:r>
        <w:tab/>
      </w:r>
      <w:r>
        <w:t xml:space="preserve">Validate a workflow</w:t>
      </w:r>
    </w:p>
    <w:p>
      <w:pPr>
        <w:pStyle w:val="FirstParagraph"/>
      </w:pPr>
      <w:r>
        <w:t xml:space="preserve">This checks the format of your workflow files to make sure you have a valid file in a known format that Cromwell can interpret.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7"/>
    <w:bookmarkStart w:id="48" w:name="submit-a-workflow"/>
    <w:p>
      <w:pPr>
        <w:pStyle w:val="Heading3"/>
      </w:pPr>
      <w:r>
        <w:rPr>
          <w:rStyle w:val="SectionNumber"/>
        </w:rPr>
        <w:t xml:space="preserve">3.2.2</w:t>
      </w:r>
      <w:r>
        <w:tab/>
      </w:r>
      <w:r>
        <w:t xml:space="preserve">Submit a workflow</w:t>
      </w:r>
    </w:p>
    <w:p>
      <w:pPr>
        <w:pStyle w:val="FirstParagraph"/>
      </w:pPr>
      <w:r>
        <w:t xml:space="preserve">This will let you upload the files that contain your workflow description (a WDL), and up to two different sets of input lists (in JSON format).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p>
      <w:pPr>
        <w:pStyle w:val="BodyText"/>
      </w:pPr>
      <w:r>
        <w:t xml:space="preserve">When you click that</w:t>
      </w:r>
      <w:r>
        <w:t xml:space="preserve"> </w:t>
      </w:r>
      <w:r>
        <w:t xml:space="preserve">“</w:t>
      </w:r>
      <w:r>
        <w:t xml:space="preserve">Submit Workflow</w:t>
      </w:r>
      <w:r>
        <w:t xml:space="preserve">”</w:t>
      </w:r>
      <w:r>
        <w:t xml:space="preserve"> </w:t>
      </w:r>
      <w:r>
        <w:t xml:space="preserve">button, you’ll see confirmation in a new box that appears with the workflow submission ID and status. These IDs are long strings that look something like this:</w:t>
      </w:r>
      <w:r>
        <w:t xml:space="preserve"> </w:t>
      </w:r>
      <w:r>
        <w:rPr>
          <w:rStyle w:val="VerbatimChar"/>
        </w:rPr>
        <w:t xml:space="preserve">4e7e244a-d6b1-41db-a324-45229ff34b00</w:t>
      </w:r>
      <w:r>
        <w:t xml:space="preserve"> </w:t>
      </w:r>
      <w:r>
        <w:t xml:space="preserve">and they’re useful if, for example, you want to abort a workflow, or identify it in the</w:t>
      </w:r>
      <w:r>
        <w:t xml:space="preserve"> </w:t>
      </w:r>
      <w:r>
        <w:t xml:space="preserve">“</w:t>
      </w:r>
      <w:r>
        <w:t xml:space="preserve">Track jobs</w:t>
      </w:r>
      <w:r>
        <w:t xml:space="preserve">”</w:t>
      </w:r>
      <w:r>
        <w:t xml:space="preserve"> </w:t>
      </w:r>
      <w:r>
        <w:t xml:space="preserve">tab. This workflow id string is unique to an individual workflow run, so if you run the same workflow a second time, you’ll get a different string. This means that this unique identifier string can be used to help understand the data source file(s) used to generate each set of results files, helping make your work reproducible.</w:t>
      </w:r>
    </w:p>
    <w:bookmarkEnd w:id="48"/>
    <w:bookmarkStart w:id="49" w:name="abort-a-workflow"/>
    <w:p>
      <w:pPr>
        <w:pStyle w:val="Heading3"/>
      </w:pPr>
      <w:r>
        <w:rPr>
          <w:rStyle w:val="SectionNumber"/>
        </w:rPr>
        <w:t xml:space="preserve">3.2.3</w:t>
      </w:r>
      <w:r>
        <w:tab/>
      </w:r>
      <w:r>
        <w:t xml:space="preserve">Abort a workflow</w:t>
      </w:r>
    </w:p>
    <w:p>
      <w:pPr>
        <w:pStyle w:val="FirstParagraph"/>
      </w:pPr>
      <w:r>
        <w:t xml:space="preserve">Sometimes you realize you want to kill a workflow. Using the workflow submission id, you can kill specific workflows using this box. Note it will take Cromwell some time to coordinate SLURM job cancellations, but it will clean everything up for you.</w:t>
      </w:r>
      <w:r>
        <w:t xml:space="preserve"> </w:t>
      </w:r>
    </w:p>
    <w:bookmarkEnd w:id="49"/>
    <w:bookmarkStart w:id="50" w:name="troubleshoot-a-workflow"/>
    <w:p>
      <w:pPr>
        <w:pStyle w:val="Heading3"/>
      </w:pPr>
      <w:r>
        <w:rPr>
          <w:rStyle w:val="SectionNumber"/>
        </w:rPr>
        <w:t xml:space="preserve">3.2.4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You probably are better served by the</w:t>
      </w:r>
      <w:r>
        <w:t xml:space="preserve"> </w:t>
      </w:r>
      <w:r>
        <w:t xml:space="preserve">“</w:t>
      </w:r>
      <w:r>
        <w:t xml:space="preserve">Track Jobs</w:t>
      </w:r>
      <w:r>
        <w:t xml:space="preserve">”</w:t>
      </w:r>
      <w:r>
        <w:t xml:space="preserve"> </w:t>
      </w:r>
      <w:r>
        <w:t xml:space="preserve">tab for checking how your workflow is going, but if there’s nothing there that’s helpful, then this box is where you’ll want to go.</w:t>
      </w:r>
      <w:r>
        <w:br/>
      </w:r>
      <w:r>
        <w:t xml:space="preserve">&gt; Note: this output is not for the faint of heart, but it will give you hints once you get used to understanding what Cromwell is telling you.</w:t>
      </w:r>
      <w:r>
        <w:br/>
      </w:r>
    </w:p>
    <w:bookmarkEnd w:id="50"/>
    <w:bookmarkEnd w:id="51"/>
    <w:bookmarkStart w:id="54" w:name="track-jobs-tab"/>
    <w:p>
      <w:pPr>
        <w:pStyle w:val="Heading2"/>
      </w:pPr>
      <w:r>
        <w:rPr>
          <w:rStyle w:val="SectionNumber"/>
        </w:rPr>
        <w:t xml:space="preserve">3.3</w:t>
      </w:r>
      <w:r>
        <w:tab/>
      </w:r>
      <w:r>
        <w:t xml:space="preserve">Track Jobs Tab</w:t>
      </w:r>
    </w:p>
    <w:p>
      <w:pPr>
        <w:pStyle w:val="FirstParagraph"/>
      </w:pPr>
      <w:r>
        <w:t xml:space="preserve">Once you’ve submitted a workflow, you’ll want to track how it’s going in the Track Jobs tab.</w:t>
      </w:r>
    </w:p>
    <w:bookmarkStart w:id="52" w:name="history-of-workflows"/>
    <w:p>
      <w:pPr>
        <w:pStyle w:val="Heading3"/>
      </w:pPr>
      <w:r>
        <w:rPr>
          <w:rStyle w:val="SectionNumber"/>
        </w:rPr>
        <w:t xml:space="preserve">3.3.1</w:t>
      </w:r>
      <w:r>
        <w:tab/>
      </w:r>
      <w:r>
        <w:t xml:space="preserve">History of workflows</w:t>
      </w:r>
    </w:p>
    <w:p>
      <w:pPr>
        <w:pStyle w:val="FirstParagraph"/>
      </w:pPr>
      <w:r>
        <w:t xml:space="preserve">At the top, you’ll see that you can display as many days of workflow history as you’d like, filter that result for workflows with a specific name or with specific status(es) like</w:t>
      </w:r>
      <w:r>
        <w:t xml:space="preserve"> </w:t>
      </w:r>
      <w:r>
        <w:t xml:space="preserve">‘</w:t>
      </w:r>
      <w:r>
        <w:t xml:space="preserve">failed</w:t>
      </w:r>
      <w:r>
        <w:t xml:space="preserve">’</w:t>
      </w:r>
      <w:r>
        <w:t xml:space="preserve">,</w:t>
      </w:r>
      <w:r>
        <w:t xml:space="preserve"> </w:t>
      </w:r>
      <w:r>
        <w:t xml:space="preserve">‘</w:t>
      </w:r>
      <w:r>
        <w:t xml:space="preserve">succeeded</w:t>
      </w:r>
      <w:r>
        <w:t xml:space="preserve">’</w:t>
      </w:r>
      <w:r>
        <w:t xml:space="preserve">, etc. This can help if you have submitted a LOT of workflows and you don’t want to see them all, or if the Cromwell server is still busy working through all of your submissions and recording their status.</w:t>
      </w:r>
    </w:p>
    <w:p>
      <w:pPr>
        <w:pStyle w:val="BodyText"/>
      </w:pPr>
    </w:p>
    <w:p>
      <w:pPr>
        <w:pStyle w:val="BodyText"/>
      </w:pPr>
      <w:r>
        <w:t xml:space="preserve">Once you click</w:t>
      </w:r>
      <w:r>
        <w:t xml:space="preserve"> </w:t>
      </w:r>
      <w:r>
        <w:t xml:space="preserve">“</w:t>
      </w:r>
      <w:r>
        <w:t xml:space="preserve">Update View</w:t>
      </w:r>
      <w:r>
        <w:t xml:space="preserve">”</w:t>
      </w:r>
      <w:r>
        <w:t xml:space="preserve">, the revelant workflows will be returned and you’ll see various information on those workflows.</w:t>
      </w:r>
    </w:p>
    <w:p>
      <w:pPr>
        <w:pStyle w:val="BodyText"/>
      </w:pPr>
      <w:r>
        <w:t xml:space="preserve">First, there’s a</w:t>
      </w:r>
      <w:r>
        <w:t xml:space="preserve"> </w:t>
      </w:r>
      <w:r>
        <w:t xml:space="preserve">“</w:t>
      </w:r>
      <w:r>
        <w:t xml:space="preserve">Workflows Run</w:t>
      </w:r>
      <w:r>
        <w:t xml:space="preserve">”</w:t>
      </w:r>
      <w:r>
        <w:t xml:space="preserve"> </w:t>
      </w:r>
      <w:r>
        <w:t xml:space="preserve">plot, showing how long each workflow ran for, and status for each.</w:t>
      </w:r>
      <w:r>
        <w:t xml:space="preserve"> </w:t>
      </w:r>
    </w:p>
    <w:p>
      <w:pPr>
        <w:pStyle w:val="BodyText"/>
      </w:pPr>
      <w:r>
        <w:t xml:space="preserve">Underneath, you’ll see a</w:t>
      </w:r>
      <w:r>
        <w:t xml:space="preserve"> </w:t>
      </w:r>
      <w:r>
        <w:t xml:space="preserve">“</w:t>
      </w:r>
      <w:r>
        <w:t xml:space="preserve">Cromwell Overview</w:t>
      </w:r>
      <w:r>
        <w:t xml:space="preserve">”</w:t>
      </w:r>
      <w:r>
        <w:t xml:space="preserve"> </w:t>
      </w:r>
      <w:r>
        <w:t xml:space="preserve">table showing metadata for each workflow. Click on the workflow you’re interested in to populate the rest of the tables (below).</w:t>
      </w:r>
      <w:r>
        <w:t xml:space="preserve"> </w:t>
      </w:r>
    </w:p>
    <w:bookmarkEnd w:id="52"/>
    <w:bookmarkStart w:id="53" w:name="diving-into-a-workflow"/>
    <w:p>
      <w:pPr>
        <w:pStyle w:val="Heading3"/>
      </w:pPr>
      <w:r>
        <w:rPr>
          <w:rStyle w:val="SectionNumber"/>
        </w:rPr>
        <w:t xml:space="preserve">3.3.2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each call containing useful information such as the directory where the job is working (callRoot), its SLURM job ID, what computing resources or software environment were used, and the job’s status.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showing where to find the workflow outputs (note this is not every file created, only the ones you specify as</w:t>
      </w:r>
      <w:r>
        <w:t xml:space="preserve"> </w:t>
      </w:r>
      <w:r>
        <w:t xml:space="preserve">“</w:t>
      </w:r>
      <w:r>
        <w:t xml:space="preserve">results</w:t>
      </w:r>
      <w:r>
        <w:t xml:space="preserve">”</w:t>
      </w:r>
      <w:r>
        <w:t xml:space="preserve"> </w:t>
      </w:r>
      <w:r>
        <w:t xml:space="preserve">using the WDL file’s</w:t>
      </w:r>
      <w:r>
        <w:t xml:space="preserve"> </w:t>
      </w:r>
      <w:r>
        <w:t xml:space="preserve">‘</w:t>
      </w:r>
      <w:r>
        <w:t xml:space="preserve">workflow output</w:t>
      </w:r>
      <w:r>
        <w:t xml:space="preserve">’</w:t>
      </w:r>
      <w:r>
        <w:t xml:space="preserve"> </w:t>
      </w:r>
      <w:r>
        <w:t xml:space="preserve">block). This lets you find output files and interact with them, archive them, or otherwise copy them to longer term storage for use.</w:t>
      </w:r>
      <w:r>
        <w:br/>
      </w:r>
    </w:p>
    <w:bookmarkEnd w:id="53"/>
    <w:bookmarkEnd w:id="54"/>
    <w:bookmarkStart w:id="55" w:name="run-test-workflows"/>
    <w:p>
      <w:pPr>
        <w:pStyle w:val="Heading2"/>
      </w:pPr>
      <w:r>
        <w:rPr>
          <w:rStyle w:val="SectionNumber"/>
        </w:rPr>
        <w:t xml:space="preserve">3.4</w:t>
      </w:r>
      <w:r>
        <w:tab/>
      </w:r>
      <w:r>
        <w:t xml:space="preserve">Run Test Workflows</w:t>
      </w:r>
    </w:p>
    <w:p>
      <w:pPr>
        <w:pStyle w:val="FirstParagraph"/>
      </w:pPr>
      <w:r>
        <w:t xml:space="preserve">Now that you know how to use the app, it’s time to run a test workflow.</w:t>
      </w:r>
    </w:p>
    <w:p>
      <w:pPr>
        <w:pStyle w:val="BodyText"/>
      </w:pPr>
      <w:r>
        <w:t xml:space="preserve">We have curated some basic workflows that you can use to test whether your Cromwell server is set up correctly and to let you to play with Cromwell. Once your server is up, run through the examples in our</w:t>
      </w:r>
      <w:r>
        <w:t xml:space="preserve"> </w:t>
      </w:r>
      <w:hyperlink r:id="rId44">
        <w:r>
          <w:rPr>
            <w:rStyle w:val="Hyperlink"/>
          </w:rPr>
          <w:t xml:space="preserve">Test Workflow folder</w:t>
        </w:r>
      </w:hyperlink>
      <w:r>
        <w:t xml:space="preserve">.</w:t>
      </w:r>
    </w:p>
    <w:p>
      <w:pPr>
        <w:pStyle w:val="BlockText"/>
      </w:pPr>
      <w:r>
        <w:t xml:space="preserve">Note: For test workflows that use Docker containers,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5"/>
    <w:bookmarkEnd w:id="56"/>
    <w:bookmarkStart w:id="73"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particular computing platform.</w:t>
      </w:r>
      <w:r>
        <w:br/>
      </w:r>
      <w:r>
        <w:t xml:space="preserve">However, there are optimizations of how those workflows run that may be specific to each computing tool (</w:t>
      </w:r>
      <w:r>
        <w:t xml:space="preserve">“</w:t>
      </w:r>
      <w:r>
        <w:t xml:space="preserve">task</w:t>
      </w:r>
      <w:r>
        <w:t xml:space="preserve">”</w:t>
      </w:r>
      <w:r>
        <w:t xml:space="preserve">).</w:t>
      </w:r>
    </w:p>
    <w:p>
      <w:pPr>
        <w:pStyle w:val="BodyText"/>
      </w:pPr>
      <w:r>
        <w:t xml:space="preserve">We’ll discuss some of the available customizations to help you run WDLs on our cluster that still allow those workflows to be portable to other computing platforms.</w:t>
      </w:r>
    </w:p>
    <w:bookmarkStart w:id="57"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can be used on any computing platform: the values given here are the defaults for our Fred Hutch configuration.</w:t>
      </w:r>
    </w:p>
    <w:p>
      <w:pPr>
        <w:numPr>
          <w:ilvl w:val="0"/>
          <w:numId w:val="1004"/>
        </w:numPr>
        <w:pStyle w:val="Compact"/>
      </w:pPr>
      <w:r>
        <w:rPr>
          <w:rStyle w:val="VerbatimChar"/>
        </w:rPr>
        <w:t xml:space="preserve">cpu: 1</w:t>
      </w:r>
    </w:p>
    <w:p>
      <w:pPr>
        <w:numPr>
          <w:ilvl w:val="1"/>
          <w:numId w:val="1005"/>
        </w:numPr>
        <w:pStyle w:val="Compact"/>
      </w:pPr>
      <w:r>
        <w:t xml:space="preserve">An integer number of cpus you want for the task</w:t>
      </w:r>
    </w:p>
    <w:p>
      <w:pPr>
        <w:numPr>
          <w:ilvl w:val="0"/>
          <w:numId w:val="1004"/>
        </w:numPr>
        <w:pStyle w:val="Compact"/>
      </w:pPr>
      <w:r>
        <w:rPr>
          <w:rStyle w:val="VerbatimChar"/>
        </w:rPr>
        <w:t xml:space="preserve">memory: 2000</w:t>
      </w:r>
    </w:p>
    <w:p>
      <w:pPr>
        <w:numPr>
          <w:ilvl w:val="1"/>
          <w:numId w:val="1006"/>
        </w:numPr>
        <w:pStyle w:val="Compact"/>
      </w:pPr>
      <w:r>
        <w:t xml:space="preserve">An integer number of MB of memory you want to use for the task</w:t>
      </w:r>
    </w:p>
    <w:p>
      <w:pPr>
        <w:numPr>
          <w:ilvl w:val="0"/>
          <w:numId w:val="1004"/>
        </w:numPr>
        <w:pStyle w:val="Compact"/>
      </w:pPr>
      <w:r>
        <w:rPr>
          <w:rStyle w:val="VerbatimChar"/>
        </w:rPr>
        <w:t xml:space="preserve">docker: "ubuntu:latest"</w:t>
      </w:r>
    </w:p>
    <w:p>
      <w:pPr>
        <w:numPr>
          <w:ilvl w:val="1"/>
          <w:numId w:val="1007"/>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7"/>
    <w:bookmarkStart w:id="59"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custom runtime variables are available (below we show each variable with its current default value). You can change these variables in the</w:t>
      </w:r>
      <w:r>
        <w:t xml:space="preserve"> </w:t>
      </w:r>
      <w:r>
        <w:rPr>
          <w:rStyle w:val="VerbatimChar"/>
        </w:rPr>
        <w:t xml:space="preserve">runtime</w:t>
      </w:r>
      <w:r>
        <w:t xml:space="preserve"> </w:t>
      </w:r>
      <w:r>
        <w:t xml:space="preserve">block for individual tasks in a WDL file: task-level specifications will override the defaults.</w:t>
      </w:r>
    </w:p>
    <w:p>
      <w:pPr>
        <w:numPr>
          <w:ilvl w:val="0"/>
          <w:numId w:val="1008"/>
        </w:numPr>
        <w:pStyle w:val="Compact"/>
      </w:pPr>
      <w:r>
        <w:rPr>
          <w:rStyle w:val="VerbatimChar"/>
        </w:rPr>
        <w:t xml:space="preserve">walltime: "18:00:00"</w:t>
      </w:r>
    </w:p>
    <w:p>
      <w:pPr>
        <w:numPr>
          <w:ilvl w:val="1"/>
          <w:numId w:val="1009"/>
        </w:numPr>
        <w:pStyle w:val="Compact"/>
      </w:pPr>
      <w:r>
        <w:t xml:space="preserve">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w:t>
      </w:r>
    </w:p>
    <w:p>
      <w:pPr>
        <w:numPr>
          <w:ilvl w:val="0"/>
          <w:numId w:val="1008"/>
        </w:numPr>
        <w:pStyle w:val="Compact"/>
      </w:pPr>
      <w:r>
        <w:rPr>
          <w:rStyle w:val="VerbatimChar"/>
        </w:rPr>
        <w:t xml:space="preserve">partition:  "campus-new"</w:t>
      </w:r>
    </w:p>
    <w:p>
      <w:pPr>
        <w:numPr>
          <w:ilvl w:val="1"/>
          <w:numId w:val="1010"/>
        </w:numPr>
        <w:pStyle w:val="Compact"/>
      </w:pPr>
      <w:r>
        <w:t xml:space="preserve">Which cluster partition to use. The default is</w:t>
      </w:r>
      <w:r>
        <w:t xml:space="preserve"> </w:t>
      </w:r>
      <w:r>
        <w:rPr>
          <w:rStyle w:val="VerbatimChar"/>
        </w:rPr>
        <w:t xml:space="preserve">campus-new</w:t>
      </w:r>
      <w:r>
        <w:t xml:space="preserve">: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8">
        <w:r>
          <w:rPr>
            <w:rStyle w:val="Hyperlink"/>
          </w:rPr>
          <w:t xml:space="preserve">SciWiki</w:t>
        </w:r>
      </w:hyperlink>
      <w:r>
        <w:t xml:space="preserve"> </w:t>
      </w:r>
      <w:r>
        <w:t xml:space="preserve">for updated information.</w:t>
      </w:r>
    </w:p>
    <w:p>
      <w:pPr>
        <w:numPr>
          <w:ilvl w:val="0"/>
          <w:numId w:val="1008"/>
        </w:numPr>
        <w:pStyle w:val="Compact"/>
      </w:pPr>
      <w:r>
        <w:rPr>
          <w:rStyle w:val="VerbatimChar"/>
        </w:rPr>
        <w:t xml:space="preserve">modules: ""</w:t>
      </w:r>
    </w:p>
    <w:p>
      <w:pPr>
        <w:numPr>
          <w:ilvl w:val="1"/>
          <w:numId w:val="1011"/>
        </w:numPr>
        <w:pStyle w:val="Compact"/>
      </w:pPr>
      <w:r>
        <w:t xml:space="preserve">A space-separated list of the environment modules you’d like to load (in that order) prior to running the task. See below for more.</w:t>
      </w:r>
    </w:p>
    <w:p>
      <w:pPr>
        <w:numPr>
          <w:ilvl w:val="0"/>
          <w:numId w:val="1008"/>
        </w:numPr>
        <w:pStyle w:val="Compact"/>
      </w:pPr>
      <w:r>
        <w:rPr>
          <w:rStyle w:val="VerbatimChar"/>
        </w:rPr>
        <w:t xml:space="preserve">dockerSL: "ubuntu:latest"</w:t>
      </w:r>
    </w:p>
    <w:p>
      <w:pPr>
        <w:numPr>
          <w:ilvl w:val="1"/>
          <w:numId w:val="1012"/>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8"/>
        </w:numPr>
        <w:pStyle w:val="Compact"/>
      </w:pPr>
      <w:r>
        <w:rPr>
          <w:rStyle w:val="VerbatimChar"/>
        </w:rPr>
        <w:t xml:space="preserve">account: "paguirigan_a"</w:t>
      </w:r>
    </w:p>
    <w:p>
      <w:pPr>
        <w:numPr>
          <w:ilvl w:val="1"/>
          <w:numId w:val="1013"/>
        </w:numPr>
        <w:pStyle w:val="Compact"/>
      </w:pPr>
      <w:r>
        <w:t xml:space="preserve">This allows users who run jobs for multiple PI accounts to specify which account to use for each task, to manage cluster allocations.</w:t>
      </w:r>
    </w:p>
    <w:bookmarkEnd w:id="59"/>
    <w:bookmarkStart w:id="63" w:name="software-environments"/>
    <w:p>
      <w:pPr>
        <w:pStyle w:val="Heading2"/>
      </w:pPr>
      <w:r>
        <w:rPr>
          <w:rStyle w:val="SectionNumber"/>
        </w:rPr>
        <w:t xml:space="preserve">4.3</w:t>
      </w:r>
      <w:r>
        <w:tab/>
      </w:r>
      <w:r>
        <w:t xml:space="preserve">Software environments</w:t>
      </w:r>
    </w:p>
    <w:bookmarkStart w:id="61"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60">
        <w:r>
          <w:rPr>
            <w:rStyle w:val="Hyperlink"/>
          </w:rPr>
          <w:t xml:space="preserve">read about in SciWiki</w:t>
        </w:r>
      </w:hyperlink>
      <w:r>
        <w:t xml:space="preserve">.</w:t>
      </w:r>
      <w:r>
        <w:br/>
      </w:r>
      <w:r>
        <w:t xml:space="preserve">The custom configuration of our Cromwell server allows users to specify one or more modules to use for individual tasks in a workflow. The desired module(s) can be requested for a task in the</w:t>
      </w:r>
      <w:r>
        <w:t xml:space="preserve"> </w:t>
      </w:r>
      <w:r>
        <w:rPr>
          <w:rStyle w:val="VerbatimChar"/>
        </w:rPr>
        <w:t xml:space="preserve">runtime</w:t>
      </w:r>
      <w:r>
        <w:t xml:space="preserve"> </w:t>
      </w:r>
      <w:r>
        <w:t xml:space="preserve">block of your calls like this:</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we specify two modules, separated by a space (with quotes surrounding both).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each modules is the same (</w:t>
      </w:r>
      <w:r>
        <w:t xml:space="preserve">“</w:t>
      </w:r>
      <w:r>
        <w:t xml:space="preserve">GCC-11.2.0</w:t>
      </w:r>
      <w:r>
        <w:t xml:space="preserve">”</w:t>
      </w:r>
      <w:r>
        <w:t xml:space="preserve">). When you load &gt;1 module for a single task it is important to ensure that they are compatible with each other: choose versions built with the same toolchain if you can.</w:t>
      </w:r>
    </w:p>
    <w:bookmarkEnd w:id="61"/>
    <w:bookmarkStart w:id="62"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ability to run your tasks in Docker containers. Users can specify docker containers in runtime blocks. Cromwell will maintain a local cache of previously used containers, facilitating the pull of Docker containers and conversion for use. This behavior allows us to evade rate-limiting by DockerHub and improves speed of your workflows.</w:t>
      </w:r>
    </w:p>
    <w:bookmarkEnd w:id="62"/>
    <w:bookmarkEnd w:id="63"/>
    <w:bookmarkStart w:id="72"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64">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5">
        <w:r>
          <w:rPr>
            <w:rStyle w:val="Hyperlink"/>
          </w:rPr>
          <w:t xml:space="preserve">Fred Hutch Data Slack #question-and-answer channel</w:t>
        </w:r>
      </w:hyperlink>
      <w:r>
        <w:t xml:space="preserve"> </w:t>
      </w:r>
      <w:r>
        <w:t xml:space="preserve">to coming to the</w:t>
      </w:r>
      <w:r>
        <w:t xml:space="preserve"> </w:t>
      </w:r>
      <w:hyperlink r:id="rId66">
        <w:r>
          <w:rPr>
            <w:rStyle w:val="Hyperlink"/>
          </w:rPr>
          <w:t xml:space="preserve">Effective Computing Drop in hours held by Fred Hutch DaSL</w:t>
        </w:r>
      </w:hyperlink>
      <w:r>
        <w:t xml:space="preserve">.</w:t>
      </w:r>
    </w:p>
    <w:bookmarkStart w:id="68"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7">
        <w:r>
          <w:rPr>
            <w:rStyle w:val="Hyperlink"/>
          </w:rPr>
          <w:t xml:space="preserve">here</w:t>
        </w:r>
      </w:hyperlink>
      <w:r>
        <w:t xml:space="preserve">.</w:t>
      </w:r>
    </w:p>
    <w:bookmarkEnd w:id="68"/>
    <w:bookmarkStart w:id="71"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69">
        <w:r>
          <w:rPr>
            <w:rStyle w:val="Hyperlink"/>
          </w:rPr>
          <w:t xml:space="preserve">Fred Hutch Data Slack workspace</w:t>
        </w:r>
      </w:hyperlink>
      <w:r>
        <w:t xml:space="preserve"> </w:t>
      </w:r>
      <w:r>
        <w:t xml:space="preserve">the</w:t>
      </w:r>
      <w:r>
        <w:t xml:space="preserve"> </w:t>
      </w:r>
      <w:hyperlink r:id="rId70">
        <w:r>
          <w:rPr>
            <w:rStyle w:val="Hyperlink"/>
          </w:rPr>
          <w:t xml:space="preserve">#workflow-managers</w:t>
        </w:r>
      </w:hyperlink>
      <w:r>
        <w:t xml:space="preserve"> </w:t>
      </w:r>
      <w:r>
        <w:t xml:space="preserve">channel is a good place to find help from Hutch peers and staff who support Cromwell and WDL</w:t>
      </w:r>
    </w:p>
    <w:bookmarkEnd w:id="71"/>
    <w:bookmarkEnd w:id="72"/>
    <w:bookmarkEnd w:id="73"/>
    <w:bookmarkStart w:id="81"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Chapter 3 showed you how to use the Hutch Shiny app to submit workflows to running Cromwell servers, and to monitor their progress. The Shiny app is built using an R package (fh.wdlR) available via GitHub.</w:t>
      </w:r>
    </w:p>
    <w:p>
      <w:pPr>
        <w:pStyle w:val="BodyText"/>
      </w:pPr>
      <w:hyperlink r:id="rId74">
        <w:r>
          <w:rPr>
            <w:rStyle w:val="Hyperlink"/>
          </w:rPr>
          <w:t xml:space="preserve">https://github.com/FredHutch/fh.wdlR</w:t>
        </w:r>
      </w:hyperlink>
    </w:p>
    <w:p>
      <w:pPr>
        <w:pStyle w:val="BodyText"/>
      </w:pPr>
      <w:r>
        <w:t xml:space="preserve">You can also use this R package through R/RStudio on your local machine (on VPN or on campus) to directly submit workflows to your Cromwell server from the R command line, and to track calls and workflow execution status directly.</w:t>
      </w:r>
    </w:p>
    <w:bookmarkStart w:id="75" w:name="install-fh.wdlr-from-github"/>
    <w:p>
      <w:pPr>
        <w:pStyle w:val="Heading2"/>
      </w:pPr>
      <w:r>
        <w:rPr>
          <w:rStyle w:val="SectionNumber"/>
        </w:rPr>
        <w:t xml:space="preserve">5.1</w:t>
      </w:r>
      <w:r>
        <w:tab/>
      </w:r>
      <w:r>
        <w:t xml:space="preserve">Install</w:t>
      </w:r>
      <w:r>
        <w:t xml:space="preserve"> </w:t>
      </w:r>
      <w:r>
        <w:rPr>
          <w:rStyle w:val="VerbatimChar"/>
        </w:rPr>
        <w:t xml:space="preserve">fh.wdlR</w:t>
      </w:r>
      <w:r>
        <w:t xml:space="preserve"> </w:t>
      </w:r>
      <w:r>
        <w:t xml:space="preserve">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5"/>
    <w:bookmarkStart w:id="79"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6" w:name="validate-your-workflow-formatting"/>
    <w:p>
      <w:pPr>
        <w:pStyle w:val="Heading3"/>
      </w:pPr>
      <w:r>
        <w:rPr>
          <w:rStyle w:val="SectionNumber"/>
        </w:rPr>
        <w:t xml:space="preserve">5.2.1</w:t>
      </w:r>
      <w:r>
        <w:tab/>
      </w:r>
      <w:r>
        <w:t xml:space="preserve">Validate your workflow formatting</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cromwellValidate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(if there are any), now send your workflow to Cromwell.</w:t>
      </w:r>
    </w:p>
    <w:bookmarkEnd w:id="76"/>
    <w:bookmarkStart w:id="77"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7"/>
    <w:bookmarkStart w:id="78"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8"/>
    <w:bookmarkEnd w:id="79"/>
    <w:bookmarkStart w:id="80"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80"/>
    <w:bookmarkEnd w:id="81"/>
    <w:bookmarkStart w:id="87" w:name="about-the-authors"/>
    <w:p>
      <w:pPr>
        <w:pStyle w:val="Heading1"/>
      </w:pPr>
      <w:r>
        <w:t xml:space="preserve">About the Authors</w:t>
      </w:r>
    </w:p>
    <w:p>
      <w:pPr>
        <w:pStyle w:val="FirstParagraph"/>
      </w:pPr>
      <w:r>
        <w:t xml:space="preserve">These credits are based on our</w:t>
      </w:r>
      <w:r>
        <w:t xml:space="preserve"> </w:t>
      </w:r>
      <w:hyperlink r:id="rId8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3">
              <w:r>
                <w:rPr>
                  <w:rStyle w:val="Hyperlink"/>
                </w:rPr>
                <w:t xml:space="preserve">Candace Savonen</w:t>
              </w:r>
            </w:hyperlink>
            <w:r>
              <w:t xml:space="preserve">,</w:t>
            </w:r>
            <w:r>
              <w:t xml:space="preserve"> </w:t>
            </w:r>
            <w:hyperlink r:id="rId84">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4">
              <w:r>
                <w:rPr>
                  <w:rStyle w:val="Hyperlink"/>
                </w:rPr>
                <w:t xml:space="preserve">Carrie Wright</w:t>
              </w:r>
            </w:hyperlink>
            <w:r>
              <w:t xml:space="preserve">,</w:t>
            </w:r>
            <w:r>
              <w:t xml:space="preserve"> </w:t>
            </w:r>
            <w:hyperlink r:id="rId83">
              <w:r>
                <w:rPr>
                  <w:rStyle w:val="Hyperlink"/>
                </w:rPr>
                <w:t xml:space="preserve">Candace Savonen</w:t>
              </w:r>
            </w:hyperlink>
          </w:p>
        </w:tc>
      </w:tr>
      <w:tr>
        <w:tc>
          <w:tcPr/>
          <w:p>
            <w:pPr>
              <w:pStyle w:val="Compact"/>
              <w:jc w:val="left"/>
            </w:pPr>
            <w:r>
              <w:t xml:space="preserve">Package Developers (</w:t>
            </w:r>
            <w:hyperlink r:id="rId85">
              <w:r>
                <w:rPr>
                  <w:rStyle w:val="Hyperlink"/>
                </w:rPr>
                <w:t xml:space="preserve">ottrpal</w:t>
              </w:r>
            </w:hyperlink>
            <w:r>
              <w:t xml:space="preserve">)</w:t>
            </w:r>
            <w:r>
              <w:t xml:space="preserve"> </w:t>
            </w:r>
            <w:hyperlink r:id="rId83">
              <w:r>
                <w:rPr>
                  <w:rStyle w:val="Hyperlink"/>
                </w:rPr>
                <w:t xml:space="preserve">Candace Savonen</w:t>
              </w:r>
            </w:hyperlink>
            <w:r>
              <w:t xml:space="preserve">,</w:t>
            </w:r>
            <w:r>
              <w:t xml:space="preserve"> </w:t>
            </w:r>
            <w:hyperlink r:id="rId86">
              <w:r>
                <w:rPr>
                  <w:rStyle w:val="Hyperlink"/>
                </w:rPr>
                <w:t xml:space="preserve">John Muschelli</w:t>
              </w:r>
            </w:hyperlink>
            <w:r>
              <w:t xml:space="preserve">,</w:t>
            </w:r>
            <w:r>
              <w:t xml:space="preserve"> </w:t>
            </w:r>
            <w:hyperlink r:id="rId84">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2022-12-07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carriewright11.github.io/" TargetMode="External" /><Relationship Type="http://schemas.openxmlformats.org/officeDocument/2006/relationships/hyperlink" Id="rId40" Target="https://cromwellapp.fredhutch.org/" TargetMode="External" /><Relationship Type="http://schemas.openxmlformats.org/officeDocument/2006/relationships/hyperlink" Id="rId34" Target="https://fhbig.slack.com/archives/CD3HGJHJT" TargetMode="External" /><Relationship Type="http://schemas.openxmlformats.org/officeDocument/2006/relationships/hyperlink" Id="rId67" Target="https://fhdata.slack.com" TargetMode="External" /><Relationship Type="http://schemas.openxmlformats.org/officeDocument/2006/relationships/hyperlink" Id="rId69" Target="https://fhdata.slack.com/" TargetMode="External" /><Relationship Type="http://schemas.openxmlformats.org/officeDocument/2006/relationships/hyperlink" Id="rId66" Target="https://fhdata.slack.com/archives/C03T4QPNDA9" TargetMode="External" /><Relationship Type="http://schemas.openxmlformats.org/officeDocument/2006/relationships/hyperlink" Id="rId65" Target="https://fhdata.slack.com/archives/CD3HGJHJT" TargetMode="External" /><Relationship Type="http://schemas.openxmlformats.org/officeDocument/2006/relationships/hyperlink" Id="rId70" Target="https://fhdata.slack.com/archives/CJFP1NYSZ" TargetMode="External" /><Relationship Type="http://schemas.openxmlformats.org/officeDocument/2006/relationships/hyperlink" Id="rId44" Target="https://github.com/FredHutch/diy-cromwell-server/tree/main/testWorkflows" TargetMode="External" /><Relationship Type="http://schemas.openxmlformats.org/officeDocument/2006/relationships/hyperlink" Id="rId74" Target="https://github.com/FredHutch/fh.wdlR" TargetMode="External" /><Relationship Type="http://schemas.openxmlformats.org/officeDocument/2006/relationships/hyperlink" Id="rId85" Target="https://github.com/jhudsl/ottrpal" TargetMode="External" /><Relationship Type="http://schemas.openxmlformats.org/officeDocument/2006/relationships/hyperlink" Id="rId46" Target="https://github.com/openwdl/wdl/blob/main/versions/development/SPEC.md#introduction" TargetMode="External" /><Relationship Type="http://schemas.openxmlformats.org/officeDocument/2006/relationships/hyperlink" Id="rId43" Target="https://hutchdatascience.org/FH_WDL101_Cromwell/getting-started-with-cromwell.html#customize-your-configuration" TargetMode="External" /><Relationship Type="http://schemas.openxmlformats.org/officeDocument/2006/relationships/hyperlink" Id="rId41" Target="https://hutchdatascience.org/FH_WDL101_Cromwell/getting-started-with-cromwell.html#kick-off-your-cromwell-server" TargetMode="External" /><Relationship Type="http://schemas.openxmlformats.org/officeDocument/2006/relationships/hyperlink" Id="rId86"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64"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8" Target="https://sciwiki.fredhutch.org/scicomputing/" TargetMode="External" /><Relationship Type="http://schemas.openxmlformats.org/officeDocument/2006/relationships/hyperlink" Id="rId26" Target="https://sciwiki.fredhutch.org/scicomputing/access_credentials/#amazon-web-services-aws" TargetMode="External" /><Relationship Type="http://schemas.openxmlformats.org/officeDocument/2006/relationships/hyperlink" Id="rId60"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45" Target="https://wdl-docs.readthedocs.io/en/1.0.0/" TargetMode="External" /><Relationship Type="http://schemas.openxmlformats.org/officeDocument/2006/relationships/hyperlink" Id="rId83" Target="https://www.cansavvy.com/" TargetMode="External" /><Relationship Type="http://schemas.openxmlformats.org/officeDocument/2006/relationships/hyperlink" Id="rId8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4" Target="https://carriewright11.github.io/" TargetMode="External" /><Relationship Type="http://schemas.openxmlformats.org/officeDocument/2006/relationships/hyperlink" Id="rId40" Target="https://cromwellapp.fredhutch.org/" TargetMode="External" /><Relationship Type="http://schemas.openxmlformats.org/officeDocument/2006/relationships/hyperlink" Id="rId34" Target="https://fhbig.slack.com/archives/CD3HGJHJT" TargetMode="External" /><Relationship Type="http://schemas.openxmlformats.org/officeDocument/2006/relationships/hyperlink" Id="rId67" Target="https://fhdata.slack.com" TargetMode="External" /><Relationship Type="http://schemas.openxmlformats.org/officeDocument/2006/relationships/hyperlink" Id="rId69" Target="https://fhdata.slack.com/" TargetMode="External" /><Relationship Type="http://schemas.openxmlformats.org/officeDocument/2006/relationships/hyperlink" Id="rId66" Target="https://fhdata.slack.com/archives/C03T4QPNDA9" TargetMode="External" /><Relationship Type="http://schemas.openxmlformats.org/officeDocument/2006/relationships/hyperlink" Id="rId65" Target="https://fhdata.slack.com/archives/CD3HGJHJT" TargetMode="External" /><Relationship Type="http://schemas.openxmlformats.org/officeDocument/2006/relationships/hyperlink" Id="rId70" Target="https://fhdata.slack.com/archives/CJFP1NYSZ" TargetMode="External" /><Relationship Type="http://schemas.openxmlformats.org/officeDocument/2006/relationships/hyperlink" Id="rId44" Target="https://github.com/FredHutch/diy-cromwell-server/tree/main/testWorkflows" TargetMode="External" /><Relationship Type="http://schemas.openxmlformats.org/officeDocument/2006/relationships/hyperlink" Id="rId74" Target="https://github.com/FredHutch/fh.wdlR" TargetMode="External" /><Relationship Type="http://schemas.openxmlformats.org/officeDocument/2006/relationships/hyperlink" Id="rId85" Target="https://github.com/jhudsl/ottrpal" TargetMode="External" /><Relationship Type="http://schemas.openxmlformats.org/officeDocument/2006/relationships/hyperlink" Id="rId46" Target="https://github.com/openwdl/wdl/blob/main/versions/development/SPEC.md#introduction" TargetMode="External" /><Relationship Type="http://schemas.openxmlformats.org/officeDocument/2006/relationships/hyperlink" Id="rId43" Target="https://hutchdatascience.org/FH_WDL101_Cromwell/getting-started-with-cromwell.html#customize-your-configuration" TargetMode="External" /><Relationship Type="http://schemas.openxmlformats.org/officeDocument/2006/relationships/hyperlink" Id="rId41" Target="https://hutchdatascience.org/FH_WDL101_Cromwell/getting-started-with-cromwell.html#kick-off-your-cromwell-server" TargetMode="External" /><Relationship Type="http://schemas.openxmlformats.org/officeDocument/2006/relationships/hyperlink" Id="rId86"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64"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8" Target="https://sciwiki.fredhutch.org/scicomputing/" TargetMode="External" /><Relationship Type="http://schemas.openxmlformats.org/officeDocument/2006/relationships/hyperlink" Id="rId26" Target="https://sciwiki.fredhutch.org/scicomputing/access_credentials/#amazon-web-services-aws" TargetMode="External" /><Relationship Type="http://schemas.openxmlformats.org/officeDocument/2006/relationships/hyperlink" Id="rId60"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45" Target="https://wdl-docs.readthedocs.io/en/1.0.0/" TargetMode="External" /><Relationship Type="http://schemas.openxmlformats.org/officeDocument/2006/relationships/hyperlink" Id="rId83" Target="https://www.cansavvy.com/" TargetMode="External" /><Relationship Type="http://schemas.openxmlformats.org/officeDocument/2006/relationships/hyperlink" Id="rId8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2022-12-07T01:19:50Z</dcterms:created>
  <dcterms:modified xsi:type="dcterms:W3CDTF">2022-12-07T01:19:50Z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