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8"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7"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32"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0"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8">
        <w:r>
          <w:rPr>
            <w:rStyle w:val="Hyperlink"/>
          </w:rPr>
          <w:t xml:space="preserve">DB4Sci</w:t>
        </w:r>
      </w:hyperlink>
      <w:r>
        <w:t xml:space="preserve"> </w:t>
      </w:r>
      <w:r>
        <w:t xml:space="preserve">and see the Wiki entry for DB4Sci</w:t>
      </w:r>
      <w:r>
        <w:t xml:space="preserve"> </w:t>
      </w:r>
      <w:hyperlink r:id="rId29">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0"/>
    <w:bookmarkStart w:id="31"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1"/>
    <w:bookmarkEnd w:id="32"/>
    <w:bookmarkStart w:id="36"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4"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3">
        <w:r>
          <w:rPr>
            <w:rStyle w:val="Hyperlink"/>
          </w:rPr>
          <w:t xml:space="preserve">Question and Answer channel</w:t>
        </w:r>
      </w:hyperlink>
      <w:r>
        <w:t xml:space="preserve"> </w:t>
      </w:r>
      <w:r>
        <w:t xml:space="preserve">folks.</w:t>
      </w:r>
    </w:p>
    <w:bookmarkEnd w:id="34"/>
    <w:bookmarkStart w:id="35"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gizmok30:****.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5"/>
    <w:bookmarkEnd w:id="36"/>
    <w:bookmarkStart w:id="37"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7"/>
    <w:bookmarkEnd w:id="38"/>
    <w:bookmarkStart w:id="51"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9">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0"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0"/>
    <w:bookmarkStart w:id="45"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41"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1"/>
    <w:bookmarkStart w:id="42"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42"/>
    <w:bookmarkStart w:id="43" w:name="abort-a-workflow"/>
    <w:p>
      <w:pPr>
        <w:pStyle w:val="Heading3"/>
      </w:pPr>
      <w:r>
        <w:rPr>
          <w:rStyle w:val="SectionNumber"/>
        </w:rPr>
        <w:t xml:space="preserve">3.2.3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3"/>
    <w:bookmarkStart w:id="44"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4"/>
    <w:bookmarkEnd w:id="45"/>
    <w:bookmarkStart w:id="48"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46" w:name="workflows-of-history"/>
    <w:p>
      <w:pPr>
        <w:pStyle w:val="Heading3"/>
      </w:pPr>
      <w:r>
        <w:rPr>
          <w:rStyle w:val="SectionNumber"/>
        </w:rPr>
        <w:t xml:space="preserve">3.3.1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6"/>
    <w:bookmarkStart w:id="47"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7"/>
    <w:bookmarkEnd w:id="48"/>
    <w:bookmarkStart w:id="50"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9">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0"/>
    <w:bookmarkEnd w:id="51"/>
    <w:bookmarkStart w:id="68"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the particular computing platforms they are using.</w:t>
      </w:r>
      <w:r>
        <w:br/>
      </w:r>
      <w:r>
        <w:t xml:space="preserve">However, there are always optimizations of how those workflows run that may be somewhat specific to the various computing tools you may be using.</w:t>
      </w:r>
    </w:p>
    <w:p>
      <w:pPr>
        <w:pStyle w:val="BodyText"/>
      </w:pPr>
      <w:r>
        <w:t xml:space="preserve">We’ll discuss some of the available customizations to help you run WDLs on our cluster in a simple way that still allows those workflows to be portable to other computing platforms.</w:t>
      </w:r>
    </w:p>
    <w:bookmarkStart w:id="52"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2"/>
    <w:bookmarkStart w:id="54"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walltime: "18:00:00"</w:t>
      </w:r>
    </w:p>
    <w:p>
      <w:pPr>
        <w:numPr>
          <w:ilvl w:val="1"/>
          <w:numId w:val="1009"/>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partition:  "campus-new"</w:t>
      </w:r>
    </w:p>
    <w:p>
      <w:pPr>
        <w:numPr>
          <w:ilvl w:val="1"/>
          <w:numId w:val="1010"/>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3">
        <w:r>
          <w:rPr>
            <w:rStyle w:val="Hyperlink"/>
          </w:rPr>
          <w:t xml:space="preserve">SciWiki</w:t>
        </w:r>
      </w:hyperlink>
      <w:r>
        <w:t xml:space="preserve"> </w:t>
      </w:r>
      <w:r>
        <w:t xml:space="preserve">for more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at the level of a task which account to use for a given job to manage cluster allocations.</w:t>
      </w:r>
    </w:p>
    <w:bookmarkEnd w:id="54"/>
    <w:bookmarkStart w:id="58" w:name="software-environments"/>
    <w:p>
      <w:pPr>
        <w:pStyle w:val="Heading2"/>
      </w:pPr>
      <w:r>
        <w:rPr>
          <w:rStyle w:val="SectionNumber"/>
        </w:rPr>
        <w:t xml:space="preserve">4.3</w:t>
      </w:r>
      <w:r>
        <w:tab/>
      </w:r>
      <w:r>
        <w:t xml:space="preserve">Software environments</w:t>
      </w:r>
    </w:p>
    <w:bookmarkStart w:id="56"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55">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6"/>
    <w:bookmarkStart w:id="57"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7"/>
    <w:bookmarkEnd w:id="58"/>
    <w:bookmarkStart w:id="67"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59">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0">
        <w:r>
          <w:rPr>
            <w:rStyle w:val="Hyperlink"/>
          </w:rPr>
          <w:t xml:space="preserve">Fred Hutch Data Slack #question-and-answer channel</w:t>
        </w:r>
      </w:hyperlink>
      <w:r>
        <w:t xml:space="preserve"> </w:t>
      </w:r>
      <w:r>
        <w:t xml:space="preserve">to coming to the</w:t>
      </w:r>
      <w:r>
        <w:t xml:space="preserve"> </w:t>
      </w:r>
      <w:hyperlink r:id="rId61">
        <w:r>
          <w:rPr>
            <w:rStyle w:val="Hyperlink"/>
          </w:rPr>
          <w:t xml:space="preserve">Effective Computing Drop in hours held by Fred Hutch DaSL</w:t>
        </w:r>
      </w:hyperlink>
      <w:r>
        <w:t xml:space="preserve">.</w:t>
      </w:r>
    </w:p>
    <w:bookmarkStart w:id="63"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2">
        <w:r>
          <w:rPr>
            <w:rStyle w:val="Hyperlink"/>
          </w:rPr>
          <w:t xml:space="preserve">here</w:t>
        </w:r>
      </w:hyperlink>
      <w:r>
        <w:t xml:space="preserve">.</w:t>
      </w:r>
    </w:p>
    <w:bookmarkEnd w:id="63"/>
    <w:bookmarkStart w:id="66"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4">
        <w:r>
          <w:rPr>
            <w:rStyle w:val="Hyperlink"/>
          </w:rPr>
          <w:t xml:space="preserve">Fred Hutch Data Slack workspace</w:t>
        </w:r>
      </w:hyperlink>
      <w:r>
        <w:t xml:space="preserve"> </w:t>
      </w:r>
      <w:r>
        <w:t xml:space="preserve">there is a specific channel where you can find help from peers and staff who support Cromwell and WDL here at the Fred Hutch called</w:t>
      </w:r>
      <w:r>
        <w:t xml:space="preserve"> </w:t>
      </w:r>
      <w:hyperlink r:id="rId65">
        <w:r>
          <w:rPr>
            <w:rStyle w:val="Hyperlink"/>
          </w:rPr>
          <w:t xml:space="preserve">#workflow-managers</w:t>
        </w:r>
      </w:hyperlink>
    </w:p>
    <w:bookmarkEnd w:id="66"/>
    <w:bookmarkEnd w:id="67"/>
    <w:bookmarkEnd w:id="68"/>
    <w:bookmarkStart w:id="76"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Cromwell servers is built using an R package which is freely available in GitHub.</w:t>
      </w:r>
    </w:p>
    <w:p>
      <w:pPr>
        <w:pStyle w:val="BodyText"/>
      </w:pPr>
      <w:hyperlink r:id="rId69">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70" w:name="install-from-github"/>
    <w:p>
      <w:pPr>
        <w:pStyle w:val="Heading2"/>
      </w:pPr>
      <w:r>
        <w:rPr>
          <w:rStyle w:val="SectionNumber"/>
        </w:rPr>
        <w:t xml:space="preserve">5.1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0"/>
    <w:bookmarkStart w:id="74"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1" w:name="validate-your-workflow-using-womtool"/>
    <w:p>
      <w:pPr>
        <w:pStyle w:val="Heading3"/>
      </w:pPr>
      <w:r>
        <w:rPr>
          <w:rStyle w:val="SectionNumber"/>
        </w:rPr>
        <w:t xml:space="preserve">5.2.1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Cromwell.</w:t>
      </w:r>
    </w:p>
    <w:bookmarkEnd w:id="71"/>
    <w:bookmarkStart w:id="72"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2"/>
    <w:bookmarkStart w:id="73"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3"/>
    <w:bookmarkEnd w:id="74"/>
    <w:bookmarkStart w:id="75"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5"/>
    <w:bookmarkEnd w:id="76"/>
    <w:bookmarkStart w:id="82" w:name="about-the-authors"/>
    <w:p>
      <w:pPr>
        <w:pStyle w:val="Heading1"/>
      </w:pPr>
      <w:r>
        <w:t xml:space="preserve">About the Authors</w:t>
      </w:r>
    </w:p>
    <w:p>
      <w:pPr>
        <w:pStyle w:val="FirstParagraph"/>
      </w:pPr>
      <w:r>
        <w:t xml:space="preserve">These credits are based on our</w:t>
      </w:r>
      <w:r>
        <w:t xml:space="preserve"> </w:t>
      </w:r>
      <w:hyperlink r:id="rId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78">
              <w:r>
                <w:rPr>
                  <w:rStyle w:val="Hyperlink"/>
                </w:rPr>
                <w:t xml:space="preserve">Candace Savonen</w:t>
              </w:r>
            </w:hyperlink>
            <w:r>
              <w:t xml:space="preserve">,</w:t>
            </w:r>
            <w:r>
              <w:t xml:space="preserve"> </w:t>
            </w:r>
            <w:hyperlink r:id="rId7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9">
              <w:r>
                <w:rPr>
                  <w:rStyle w:val="Hyperlink"/>
                </w:rPr>
                <w:t xml:space="preserve">Carrie Wright</w:t>
              </w:r>
            </w:hyperlink>
            <w:r>
              <w:t xml:space="preserve">,</w:t>
            </w:r>
            <w:r>
              <w:t xml:space="preserve"> </w:t>
            </w:r>
            <w:hyperlink r:id="rId78">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8">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9">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2" Target="https://fhdata.slack.com" TargetMode="External" /><Relationship Type="http://schemas.openxmlformats.org/officeDocument/2006/relationships/hyperlink" Id="rId64" Target="https://fhdata.slack.com/" TargetMode="External" /><Relationship Type="http://schemas.openxmlformats.org/officeDocument/2006/relationships/hyperlink" Id="rId61" Target="https://fhdata.slack.com/archives/C03T4QPNDA9" TargetMode="External" /><Relationship Type="http://schemas.openxmlformats.org/officeDocument/2006/relationships/hyperlink" Id="rId60" Target="https://fhdata.slack.com/archives/CD3HGJHJT" TargetMode="External" /><Relationship Type="http://schemas.openxmlformats.org/officeDocument/2006/relationships/hyperlink" Id="rId65" Target="https://fhdata.slack.com/archives/CJFP1NYSZ" TargetMode="External" /><Relationship Type="http://schemas.openxmlformats.org/officeDocument/2006/relationships/hyperlink" Id="rId49" Target="https://github.com/FredHutch/diy-cromwell-server/tree/main/testWorkflows" TargetMode="External" /><Relationship Type="http://schemas.openxmlformats.org/officeDocument/2006/relationships/hyperlink" Id="rId69" Target="https://github.com/FredHutch/fh.wdl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59"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5"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8" Target="https://www.cansavvy.com/" TargetMode="External" /><Relationship Type="http://schemas.openxmlformats.org/officeDocument/2006/relationships/hyperlink" Id="rId77"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9"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2" Target="https://fhdata.slack.com" TargetMode="External" /><Relationship Type="http://schemas.openxmlformats.org/officeDocument/2006/relationships/hyperlink" Id="rId64" Target="https://fhdata.slack.com/" TargetMode="External" /><Relationship Type="http://schemas.openxmlformats.org/officeDocument/2006/relationships/hyperlink" Id="rId61" Target="https://fhdata.slack.com/archives/C03T4QPNDA9" TargetMode="External" /><Relationship Type="http://schemas.openxmlformats.org/officeDocument/2006/relationships/hyperlink" Id="rId60" Target="https://fhdata.slack.com/archives/CD3HGJHJT" TargetMode="External" /><Relationship Type="http://schemas.openxmlformats.org/officeDocument/2006/relationships/hyperlink" Id="rId65" Target="https://fhdata.slack.com/archives/CJFP1NYSZ" TargetMode="External" /><Relationship Type="http://schemas.openxmlformats.org/officeDocument/2006/relationships/hyperlink" Id="rId49" Target="https://github.com/FredHutch/diy-cromwell-server/tree/main/testWorkflows" TargetMode="External" /><Relationship Type="http://schemas.openxmlformats.org/officeDocument/2006/relationships/hyperlink" Id="rId69" Target="https://github.com/FredHutch/fh.wdl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59"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5"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8" Target="https://www.cansavvy.com/" TargetMode="External" /><Relationship Type="http://schemas.openxmlformats.org/officeDocument/2006/relationships/hyperlink" Id="rId77"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2022-11-08T18:00:47Z</dcterms:created>
  <dcterms:modified xsi:type="dcterms:W3CDTF">2022-11-08T18:00:47Z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