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This course is intended to be an introduction for users at the Fred Hutch to using our pre-configured Cromwell resources to run WDL workflows using the Fred Hutch computing cluster.</w:t>
      </w:r>
    </w:p>
    <w:p>
      <w:pPr>
        <w:pStyle w:val="BodyText"/>
      </w:pPr>
    </w:p>
    <w:bookmarkEnd w:id="20"/>
    <w:bookmarkStart w:id="35"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w:t>
      </w:r>
      <w:r>
        <w:t xml:space="preserve"> </w:t>
      </w:r>
      <w:r>
        <w:t xml:space="preserve">WDL workflows can be run using an engine, which is software that interprets and runs your WDL on various high performance computing resources, such as SLURM (the Fred Hutch local cluster), AWS, Google and Azure.</w:t>
      </w:r>
      <w:r>
        <w:t xml:space="preserve"> </w:t>
      </w:r>
      <w:r>
        <w:t xml:space="preserve">At the Fred Hutch we have configured a software from the Broad called Cromwell to allow us to run WDLs on our local cluster that then can be easily ported to other cloud based compute infrastructure when desired.</w:t>
      </w:r>
      <w:r>
        <w:t xml:space="preserve"> </w:t>
      </w:r>
      <w:r>
        <w:t xml:space="preserve">This allows us to simplify our workflow testing and design, leverage WDL for smaller scale work that does not need the cloud, and can let users of all kinds manage their workflow work over time via this tool.</w:t>
      </w:r>
    </w:p>
    <w:bookmarkStart w:id="25" w:name="pre-requisites"/>
    <w:p>
      <w:pPr>
        <w:pStyle w:val="Heading2"/>
      </w:pPr>
      <w:r>
        <w:rPr>
          <w:rStyle w:val="SectionNumber"/>
        </w:rPr>
        <w:t xml:space="preserve">1.1</w:t>
      </w:r>
      <w:r>
        <w:tab/>
      </w:r>
      <w:r>
        <w:t xml:space="preserve">Pre-Requisites</w:t>
      </w:r>
    </w:p>
    <w:bookmarkStart w:id="23" w:name="rhino-access"/>
    <w:p>
      <w:pPr>
        <w:pStyle w:val="Heading3"/>
      </w:pPr>
      <w:r>
        <w:rPr>
          <w:rStyle w:val="SectionNumber"/>
        </w:rPr>
        <w:t xml:space="preserve">1.1.1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1">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2">
        <w:r>
          <w:rPr>
            <w:rStyle w:val="Hyperlink"/>
          </w:rPr>
          <w:t xml:space="preserve">SciWiki</w:t>
        </w:r>
      </w:hyperlink>
      <w:r>
        <w:t xml:space="preserve"> </w:t>
      </w:r>
      <w:r>
        <w:t xml:space="preserve">in the Scientific Computing section about Access Methods, and Technologies.</w:t>
      </w:r>
    </w:p>
    <w:bookmarkEnd w:id="23"/>
    <w:bookmarkStart w:id="24" w:name="aws-credentials"/>
    <w:p>
      <w:pPr>
        <w:pStyle w:val="Heading3"/>
      </w:pPr>
      <w:r>
        <w:rPr>
          <w:rStyle w:val="SectionNumber"/>
        </w:rPr>
        <w:t xml:space="preserve">1.1.2</w:t>
      </w:r>
      <w:r>
        <w:tab/>
      </w:r>
      <w:r>
        <w:t xml:space="preserve">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4"/>
    <w:bookmarkEnd w:id="25"/>
    <w:bookmarkStart w:id="26" w:name="what-is-cromwell"/>
    <w:p>
      <w:pPr>
        <w:pStyle w:val="Heading2"/>
      </w:pPr>
      <w:r>
        <w:rPr>
          <w:rStyle w:val="SectionNumber"/>
        </w:rPr>
        <w:t xml:space="preserve">1.2</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w:t>
      </w:r>
      <w:r>
        <w:br/>
      </w:r>
      <w:r>
        <w:t xml:space="preserve">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6"/>
    <w:bookmarkStart w:id="34" w:name="getting-started-with-cromwell"/>
    <w:p>
      <w:pPr>
        <w:pStyle w:val="Heading2"/>
      </w:pPr>
      <w:r>
        <w:rPr>
          <w:rStyle w:val="SectionNumber"/>
        </w:rPr>
        <w:t xml:space="preserve">1.3</w:t>
      </w:r>
      <w:r>
        <w:tab/>
      </w:r>
      <w:r>
        <w:t xml:space="preserve">Getting Started with Cromwell</w:t>
      </w:r>
    </w:p>
    <w:bookmarkStart w:id="29" w:name="database-setup"/>
    <w:p>
      <w:pPr>
        <w:pStyle w:val="Heading3"/>
      </w:pPr>
      <w:r>
        <w:rPr>
          <w:rStyle w:val="SectionNumber"/>
        </w:rPr>
        <w:t xml:space="preserve">1.3.1</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w:t>
      </w:r>
      <w:r>
        <w:t xml:space="preserve"> </w:t>
      </w:r>
      <w:r>
        <w:t xml:space="preserve">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w:t>
      </w:r>
      <w:r>
        <w:t xml:space="preserve"> </w:t>
      </w:r>
      <w:r>
        <w:t xml:space="preserve">We have found that by using a MySQL database for your Cromwell server to store information in, it will run faster and be better able to handle simultaneous workflows while also making all the metadata available to you during and after the run.</w:t>
      </w:r>
    </w:p>
    <w:p>
      <w:pPr>
        <w:pStyle w:val="BodyText"/>
      </w:pPr>
      <w:r>
        <w:t xml:space="preserve">Thus for each user, we suggest setting up a database which only needs to be done one time per user using these steps:</w:t>
      </w:r>
    </w:p>
    <w:p>
      <w:pPr>
        <w:numPr>
          <w:ilvl w:val="0"/>
          <w:numId w:val="1001"/>
        </w:numPr>
        <w:pStyle w:val="Compact"/>
      </w:pPr>
      <w:r>
        <w:t xml:space="preserve">Go to</w:t>
      </w:r>
      <w:r>
        <w:t xml:space="preserve"> </w:t>
      </w:r>
      <w:hyperlink r:id="rId27">
        <w:r>
          <w:rPr>
            <w:rStyle w:val="Hyperlink"/>
          </w:rPr>
          <w:t xml:space="preserve">DB4Sci</w:t>
        </w:r>
      </w:hyperlink>
      <w:r>
        <w:t xml:space="preserve"> </w:t>
      </w:r>
      <w:r>
        <w:t xml:space="preserve">and see the Wiki entry for DB4Sci</w:t>
      </w:r>
      <w:r>
        <w:t xml:space="preserve"> </w:t>
      </w:r>
      <w:hyperlink r:id="rId28">
        <w:r>
          <w:rPr>
            <w:rStyle w:val="Hyperlink"/>
          </w:rPr>
          <w:t xml:space="preserve">here</w:t>
        </w:r>
      </w:hyperlink>
      <w:r>
        <w:t xml:space="preserve">.</w:t>
      </w:r>
      <w:r>
        <w:br/>
      </w:r>
    </w:p>
    <w:p>
      <w:pPr>
        <w:numPr>
          <w:ilvl w:val="0"/>
          <w:numId w:val="1001"/>
        </w:numPr>
        <w:pStyle w:val="Compact"/>
      </w:pPr>
      <w:r>
        <w:t xml:space="preserve">Login using Fred Hutch credentials, choose</w:t>
      </w:r>
      <w:r>
        <w:t xml:space="preserve"> </w:t>
      </w:r>
      <w:r>
        <w:rPr>
          <w:rStyle w:val="VerbatimChar"/>
        </w:rPr>
        <w:t xml:space="preserve">Create DB Container</w:t>
      </w:r>
      <w:r>
        <w:t xml:space="preserve">, and choose the MariaDB option.</w:t>
      </w:r>
      <w:r>
        <w:br/>
      </w:r>
    </w:p>
    <w:p>
      <w:pPr>
        <w:numPr>
          <w:ilvl w:val="0"/>
          <w:numId w:val="1001"/>
        </w:numPr>
        <w:pStyle w:val="Compact"/>
      </w:pPr>
      <w:r>
        <w:t xml:space="preserve">The default database container values are typically fine, EXCEPT you likely need either weekly or no backups (no backups preferred) for this database.</w:t>
      </w:r>
    </w:p>
    <w:p>
      <w:pPr>
        <w:numPr>
          <w:ilvl w:val="0"/>
          <w:numId w:val="1001"/>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w:t>
      </w:r>
    </w:p>
    <w:p>
      <w:pPr>
        <w:pStyle w:val="FirstParagraph"/>
      </w:pPr>
      <w:r>
        <w:t xml:space="preserve">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follow these instructions:</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Now you’re ready to go and never have to set up the database part again and you can use this database to manage all your work over time!</w:t>
      </w:r>
    </w:p>
    <w:bookmarkEnd w:id="29"/>
    <w:bookmarkStart w:id="33" w:name="start-up-a-cromwell-server"/>
    <w:p>
      <w:pPr>
        <w:pStyle w:val="Heading3"/>
      </w:pPr>
      <w:r>
        <w:rPr>
          <w:rStyle w:val="SectionNumber"/>
        </w:rPr>
        <w:t xml:space="preserve">1.3.2</w:t>
      </w:r>
      <w:r>
        <w:tab/>
      </w:r>
      <w:r>
        <w:t xml:space="preserve">Start up a Cromwell server</w:t>
      </w:r>
    </w:p>
    <w:bookmarkStart w:id="31" w:name="customize-your-configuration"/>
    <w:p>
      <w:pPr>
        <w:pStyle w:val="Heading4"/>
      </w:pPr>
      <w:r>
        <w:rPr>
          <w:rStyle w:val="SectionNumber"/>
        </w:rPr>
        <w:t xml:space="preserve">1.3.2.1</w:t>
      </w:r>
      <w:r>
        <w:tab/>
      </w:r>
      <w:r>
        <w:t xml:space="preserve">Customize Your Configuration</w:t>
      </w:r>
    </w:p>
    <w:p>
      <w:pPr>
        <w:pStyle w:val="FirstParagraph"/>
      </w:pPr>
      <w:r>
        <w:t xml:space="preserve">To start up your first Crowmell server job, you first need to decide where you want to keep your Cromwell configuration files.</w:t>
      </w:r>
      <w:r>
        <w:br/>
      </w:r>
      <w:r>
        <w:t xml:space="preserve">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w:t>
      </w:r>
      <w:r>
        <w:br/>
      </w:r>
      <w:r>
        <w:t xml:space="preserve">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mulitple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0">
        <w:r>
          <w:rPr>
            <w:rStyle w:val="Hyperlink"/>
          </w:rPr>
          <w:t xml:space="preserve">Question and Answer channel</w:t>
        </w:r>
      </w:hyperlink>
      <w:r>
        <w:t xml:space="preserve"> </w:t>
      </w:r>
      <w:r>
        <w:t xml:space="preserve">folks.</w:t>
      </w:r>
    </w:p>
    <w:bookmarkEnd w:id="31"/>
    <w:bookmarkStart w:id="32" w:name="kick-off-your-cromwell-server"/>
    <w:p>
      <w:pPr>
        <w:pStyle w:val="Heading4"/>
      </w:pPr>
      <w:r>
        <w:rPr>
          <w:rStyle w:val="SectionNumber"/>
        </w:rPr>
        <w:t xml:space="preserve">1.3.2.2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p>
      <w:pPr>
        <w:pStyle w:val="FirstParagraph"/>
      </w:pPr>
      <w:r>
        <w:t xml:space="preserve">Congrats you’ve started your first Cromwell server!! Now on to how to submit a WDL workflow to it.</w:t>
      </w:r>
    </w:p>
    <w:bookmarkEnd w:id="32"/>
    <w:bookmarkEnd w:id="33"/>
    <w:bookmarkEnd w:id="34"/>
    <w:bookmarkEnd w:id="35"/>
    <w:bookmarkStart w:id="49" w:name="using-shiny-to-manage-workflows"/>
    <w:p>
      <w:pPr>
        <w:pStyle w:val="Heading1"/>
      </w:pPr>
      <w:r>
        <w:rPr>
          <w:rStyle w:val="SectionNumber"/>
        </w:rPr>
        <w:t xml:space="preserve">2</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bookmarkStart w:id="48" w:name="cromwell-app"/>
    <w:p>
      <w:pPr>
        <w:pStyle w:val="Heading2"/>
      </w:pPr>
      <w:r>
        <w:rPr>
          <w:rStyle w:val="SectionNumber"/>
        </w:rPr>
        <w:t xml:space="preserve">2.1</w:t>
      </w:r>
      <w:r>
        <w:tab/>
      </w:r>
      <w:r>
        <w:t xml:space="preserve">Cromwell app</w:t>
      </w:r>
    </w:p>
    <w:p>
      <w:pPr>
        <w:pStyle w:val="FirstParagraph"/>
      </w:pPr>
      <w:r>
        <w:t xml:space="preserve">You can find our Fred Hutch Shiny app here:</w:t>
      </w:r>
      <w:r>
        <w:t xml:space="preserve"> </w:t>
      </w:r>
      <w:hyperlink r:id="rId36">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37" w:name="login"/>
    <w:p>
      <w:pPr>
        <w:pStyle w:val="Heading3"/>
      </w:pPr>
      <w:r>
        <w:rPr>
          <w:rStyle w:val="SectionNumber"/>
        </w:rPr>
        <w:t xml:space="preserve">2.1.1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37"/>
    <w:bookmarkStart w:id="42" w:name="submit-jobs-tab"/>
    <w:p>
      <w:pPr>
        <w:pStyle w:val="Heading3"/>
      </w:pPr>
      <w:r>
        <w:rPr>
          <w:rStyle w:val="SectionNumber"/>
        </w:rPr>
        <w:t xml:space="preserve">2.1.2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38" w:name="validate-a-workflow"/>
    <w:p>
      <w:pPr>
        <w:pStyle w:val="Heading4"/>
      </w:pPr>
      <w:r>
        <w:rPr>
          <w:rStyle w:val="SectionNumber"/>
        </w:rPr>
        <w:t xml:space="preserve">2.1.2.1</w:t>
      </w:r>
      <w:r>
        <w:tab/>
      </w:r>
      <w:r>
        <w:t xml:space="preserve">Validate a workflow</w:t>
      </w:r>
    </w:p>
    <w:p>
      <w:pPr>
        <w:pStyle w:val="FirstParagraph"/>
      </w:pPr>
      <w:r>
        <w:t xml:space="preserve">This checks the format of your workflow files to make sure you have a valid file in a known format that Cromwell can iterpret.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38"/>
    <w:bookmarkStart w:id="39" w:name="submit-a-workflow"/>
    <w:p>
      <w:pPr>
        <w:pStyle w:val="Heading4"/>
      </w:pPr>
      <w:r>
        <w:rPr>
          <w:rStyle w:val="SectionNumber"/>
        </w:rPr>
        <w:t xml:space="preserve">2.1.2.2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39"/>
    <w:bookmarkStart w:id="40" w:name="abort-a-workflow"/>
    <w:p>
      <w:pPr>
        <w:pStyle w:val="Heading4"/>
      </w:pPr>
      <w:r>
        <w:rPr>
          <w:rStyle w:val="SectionNumber"/>
        </w:rPr>
        <w:t xml:space="preserve">2.1.2.3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0"/>
    <w:bookmarkStart w:id="41" w:name="troubleshoot-a-workflow"/>
    <w:p>
      <w:pPr>
        <w:pStyle w:val="Heading4"/>
      </w:pPr>
      <w:r>
        <w:rPr>
          <w:rStyle w:val="SectionNumber"/>
        </w:rPr>
        <w:t xml:space="preserve">2.1.2.4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retreive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1"/>
    <w:bookmarkEnd w:id="42"/>
    <w:bookmarkStart w:id="45" w:name="track-jobs-tab"/>
    <w:p>
      <w:pPr>
        <w:pStyle w:val="Heading3"/>
      </w:pPr>
      <w:r>
        <w:rPr>
          <w:rStyle w:val="SectionNumber"/>
        </w:rPr>
        <w:t xml:space="preserve">2.1.3</w:t>
      </w:r>
      <w:r>
        <w:tab/>
      </w:r>
      <w:r>
        <w:t xml:space="preserve">Track Jobs Tab</w:t>
      </w:r>
    </w:p>
    <w:p>
      <w:pPr>
        <w:pStyle w:val="FirstParagraph"/>
      </w:pPr>
      <w:r>
        <w:t xml:space="preserve">Once you’ve submitted a workflow, you’ll want to track how it’s going in the Track Jobs tab.</w:t>
      </w:r>
    </w:p>
    <w:bookmarkStart w:id="43" w:name="workflows-of-history"/>
    <w:p>
      <w:pPr>
        <w:pStyle w:val="Heading4"/>
      </w:pPr>
      <w:r>
        <w:rPr>
          <w:rStyle w:val="SectionNumber"/>
        </w:rPr>
        <w:t xml:space="preserve">2.1.3.1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3"/>
    <w:bookmarkStart w:id="44" w:name="diving-into-a-workflow"/>
    <w:p>
      <w:pPr>
        <w:pStyle w:val="Heading4"/>
      </w:pPr>
      <w:r>
        <w:rPr>
          <w:rStyle w:val="SectionNumber"/>
        </w:rPr>
        <w:t xml:space="preserve">2.1.3.2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nad Call Caching tables to retreive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4"/>
    <w:bookmarkEnd w:id="45"/>
    <w:bookmarkStart w:id="47" w:name="run-test-workflows"/>
    <w:p>
      <w:pPr>
        <w:pStyle w:val="Heading3"/>
      </w:pPr>
      <w:r>
        <w:rPr>
          <w:rStyle w:val="SectionNumber"/>
        </w:rPr>
        <w:t xml:space="preserve">2.1.4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6">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7"/>
    <w:bookmarkEnd w:id="48"/>
    <w:bookmarkEnd w:id="49"/>
    <w:bookmarkStart w:id="67" w:name="cromwell-at-the-fred-hutch"/>
    <w:p>
      <w:pPr>
        <w:pStyle w:val="Heading1"/>
      </w:pPr>
      <w:r>
        <w:rPr>
          <w:rStyle w:val="SectionNumber"/>
        </w:rPr>
        <w:t xml:space="preserve">3</w:t>
      </w:r>
      <w:r>
        <w:tab/>
      </w:r>
      <w:r>
        <w:t xml:space="preserve">Cromwell at the Fred Hutch</w:t>
      </w:r>
    </w:p>
    <w:p>
      <w:pPr>
        <w:pStyle w:val="FirstParagraph"/>
      </w:pPr>
      <w:r>
        <w:t xml:space="preserve">Cromwell can help run WDL workflows on a variety of computing resources such as SLURM clusters, as well as AWS, Google and Azure cloud computing systems.</w:t>
      </w:r>
      <w:r>
        <w:t xml:space="preserve"> </w:t>
      </w:r>
      <w:r>
        <w:t xml:space="preserve">Using WDL workflows allows users to focus on their workflow contents rather than the intricacies of the particular computing platforms they are using.</w:t>
      </w:r>
      <w:r>
        <w:br/>
      </w:r>
      <w:r>
        <w:t xml:space="preserve">However, there are always optimizations of how those workflows run taht may be somewhat specific to the various computing tools you may be using.</w:t>
      </w:r>
      <w:r>
        <w:br/>
      </w:r>
      <w:r>
        <w:t xml:space="preserve">We’ll discuss some of the available customizations to help you run WDLs on our cluster in a simple way that still allows those workflows to be portable to other computing platforms.</w:t>
      </w:r>
    </w:p>
    <w:bookmarkStart w:id="50" w:name="standard-runtime-variables"/>
    <w:p>
      <w:pPr>
        <w:pStyle w:val="Heading2"/>
      </w:pPr>
      <w:r>
        <w:rPr>
          <w:rStyle w:val="SectionNumber"/>
        </w:rPr>
        <w:t xml:space="preserve">3.1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2"/>
        </w:numPr>
        <w:pStyle w:val="Compact"/>
      </w:pPr>
      <w:r>
        <w:rPr>
          <w:rStyle w:val="VerbatimChar"/>
        </w:rPr>
        <w:t xml:space="preserve">cpu: 1</w:t>
      </w:r>
    </w:p>
    <w:p>
      <w:pPr>
        <w:numPr>
          <w:ilvl w:val="1"/>
          <w:numId w:val="1003"/>
        </w:numPr>
        <w:pStyle w:val="Compact"/>
      </w:pPr>
      <w:r>
        <w:t xml:space="preserve">An integer number of cpus you want for the task</w:t>
      </w:r>
    </w:p>
    <w:p>
      <w:pPr>
        <w:numPr>
          <w:ilvl w:val="0"/>
          <w:numId w:val="1002"/>
        </w:numPr>
        <w:pStyle w:val="Compact"/>
      </w:pPr>
      <w:r>
        <w:rPr>
          <w:rStyle w:val="VerbatimChar"/>
        </w:rPr>
        <w:t xml:space="preserve">memory: 2000</w:t>
      </w:r>
    </w:p>
    <w:p>
      <w:pPr>
        <w:numPr>
          <w:ilvl w:val="1"/>
          <w:numId w:val="1004"/>
        </w:numPr>
        <w:pStyle w:val="Compact"/>
      </w:pPr>
      <w:r>
        <w:t xml:space="preserve">An integer number of MB of memory you want to use for the task</w:t>
      </w:r>
    </w:p>
    <w:p>
      <w:pPr>
        <w:numPr>
          <w:ilvl w:val="0"/>
          <w:numId w:val="1002"/>
        </w:numPr>
        <w:pStyle w:val="Compact"/>
      </w:pPr>
      <w:r>
        <w:rPr>
          <w:rStyle w:val="VerbatimChar"/>
        </w:rPr>
        <w:t xml:space="preserve">docker: "ubuntu:latest"</w:t>
      </w:r>
    </w:p>
    <w:p>
      <w:pPr>
        <w:numPr>
          <w:ilvl w:val="1"/>
          <w:numId w:val="1005"/>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0"/>
    <w:bookmarkStart w:id="57" w:name="fred-hutch-custom-runtime-variables"/>
    <w:p>
      <w:pPr>
        <w:pStyle w:val="Heading2"/>
      </w:pPr>
      <w:r>
        <w:rPr>
          <w:rStyle w:val="SectionNumber"/>
        </w:rPr>
        <w:t xml:space="preserve">3.2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6"/>
        </w:numPr>
        <w:pStyle w:val="Compact"/>
      </w:pPr>
      <w:r>
        <w:rPr>
          <w:rStyle w:val="VerbatimChar"/>
        </w:rPr>
        <w:t xml:space="preserve">walltime: "18:00:00"</w:t>
      </w:r>
    </w:p>
    <w:p>
      <w:pPr>
        <w:numPr>
          <w:ilvl w:val="1"/>
          <w:numId w:val="1007"/>
        </w:numPr>
        <w:pStyle w:val="Compact"/>
      </w:pPr>
      <w:r>
        <w:t xml:space="preserve">A string of date/time that specifies how many hours/days you want to request for the task</w:t>
      </w:r>
    </w:p>
    <w:p>
      <w:pPr>
        <w:numPr>
          <w:ilvl w:val="0"/>
          <w:numId w:val="1006"/>
        </w:numPr>
        <w:pStyle w:val="Compact"/>
      </w:pPr>
      <w:r>
        <w:rPr>
          <w:rStyle w:val="VerbatimChar"/>
        </w:rPr>
        <w:t xml:space="preserve">partition:  "campus-new"</w:t>
      </w:r>
    </w:p>
    <w:p>
      <w:pPr>
        <w:numPr>
          <w:ilvl w:val="1"/>
          <w:numId w:val="1008"/>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1">
        <w:r>
          <w:rPr>
            <w:rStyle w:val="Hyperlink"/>
          </w:rPr>
          <w:t xml:space="preserve">SciWiki</w:t>
        </w:r>
      </w:hyperlink>
      <w:r>
        <w:t xml:space="preserve"> </w:t>
      </w:r>
      <w:r>
        <w:t xml:space="preserve">for more updated information.</w:t>
      </w:r>
    </w:p>
    <w:p>
      <w:pPr>
        <w:numPr>
          <w:ilvl w:val="0"/>
          <w:numId w:val="1006"/>
        </w:numPr>
        <w:pStyle w:val="Compact"/>
      </w:pPr>
      <w:r>
        <w:rPr>
          <w:rStyle w:val="VerbatimChar"/>
        </w:rPr>
        <w:t xml:space="preserve">modules: ""</w:t>
      </w:r>
    </w:p>
    <w:p>
      <w:pPr>
        <w:numPr>
          <w:ilvl w:val="1"/>
          <w:numId w:val="1009"/>
        </w:numPr>
        <w:pStyle w:val="Compact"/>
      </w:pPr>
      <w:r>
        <w:t xml:space="preserve">A space-separated list of the environment modules you’d like to have loaded (in that order) prior to running the task.</w:t>
      </w:r>
      <w:r>
        <w:br/>
      </w:r>
    </w:p>
    <w:p>
      <w:pPr>
        <w:numPr>
          <w:ilvl w:val="0"/>
          <w:numId w:val="1006"/>
        </w:numPr>
        <w:pStyle w:val="Compact"/>
      </w:pPr>
      <w:r>
        <w:rPr>
          <w:rStyle w:val="VerbatimChar"/>
        </w:rPr>
        <w:t xml:space="preserve">dockerSL: "ubuntu:latest"</w:t>
      </w:r>
    </w:p>
    <w:p>
      <w:pPr>
        <w:numPr>
          <w:ilvl w:val="1"/>
          <w:numId w:val="1010"/>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6"/>
        </w:numPr>
        <w:pStyle w:val="Compact"/>
      </w:pPr>
      <w:r>
        <w:rPr>
          <w:rStyle w:val="VerbatimChar"/>
        </w:rPr>
        <w:t xml:space="preserve">account: "paguirigan_a"</w:t>
      </w:r>
    </w:p>
    <w:p>
      <w:pPr>
        <w:numPr>
          <w:ilvl w:val="1"/>
          <w:numId w:val="1011"/>
        </w:numPr>
        <w:pStyle w:val="Compact"/>
      </w:pPr>
      <w:r>
        <w:t xml:space="preserve">This allows users who run jobs for multiple PI accounts to specify at the level of a task which account to use for a given job to manage cluster allocations.</w:t>
      </w:r>
    </w:p>
    <w:bookmarkStart w:id="56" w:name="software-environments"/>
    <w:p>
      <w:pPr>
        <w:pStyle w:val="Heading3"/>
      </w:pPr>
      <w:r>
        <w:rPr>
          <w:rStyle w:val="SectionNumber"/>
        </w:rPr>
        <w:t xml:space="preserve">3.2.1</w:t>
      </w:r>
      <w:r>
        <w:tab/>
      </w:r>
      <w:r>
        <w:t xml:space="preserve">Software environments</w:t>
      </w:r>
    </w:p>
    <w:bookmarkStart w:id="53" w:name="modules"/>
    <w:p>
      <w:pPr>
        <w:pStyle w:val="Heading4"/>
      </w:pPr>
      <w:r>
        <w:rPr>
          <w:rStyle w:val="SectionNumber"/>
        </w:rPr>
        <w:t xml:space="preserve">3.2.1.1</w:t>
      </w:r>
      <w:r>
        <w:tab/>
      </w:r>
      <w:r>
        <w:t xml:space="preserve">Modules</w:t>
      </w:r>
    </w:p>
    <w:p>
      <w:pPr>
        <w:pStyle w:val="FirstParagraph"/>
      </w:pPr>
      <w:r>
        <w:t xml:space="preserve">At Fred Hutch we have huge array of pre-curated software modules installed on our SLURM cluster which you can</w:t>
      </w:r>
      <w:r>
        <w:t xml:space="preserve"> </w:t>
      </w:r>
      <w:hyperlink r:id="rId52">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modiule.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3"/>
    <w:bookmarkStart w:id="54" w:name="docker"/>
    <w:p>
      <w:pPr>
        <w:pStyle w:val="Heading4"/>
      </w:pPr>
      <w:r>
        <w:rPr>
          <w:rStyle w:val="SectionNumber"/>
        </w:rPr>
        <w:t xml:space="preserve">3.2.1.2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4"/>
    <w:bookmarkStart w:id="55" w:name="find-support"/>
    <w:p>
      <w:pPr>
        <w:pStyle w:val="Heading4"/>
      </w:pPr>
      <w:r>
        <w:rPr>
          <w:rStyle w:val="SectionNumber"/>
        </w:rPr>
        <w:t xml:space="preserve">3.2.1.3</w:t>
      </w:r>
      <w:r>
        <w:tab/>
      </w:r>
      <w:r>
        <w:t xml:space="preserve">Find Support</w:t>
      </w:r>
    </w:p>
    <w:p>
      <w:pPr>
        <w:pStyle w:val="FirstParagraph"/>
      </w:pPr>
      <w:r>
        <w:t xml:space="preserve">If you’re unfamiliar with resources for using Docker or to learn more about using modules and software environments see the</w:t>
      </w:r>
      <w:r>
        <w:t xml:space="preserve"> </w:t>
      </w:r>
      <w:r>
        <w:t xml:space="preserve">“</w:t>
      </w:r>
      <w:r>
        <w:t xml:space="preserve">Guidance and Support</w:t>
      </w:r>
      <w:r>
        <w:t xml:space="preserve">”</w:t>
      </w:r>
      <w:r>
        <w:t xml:space="preserve"> </w:t>
      </w:r>
      <w:r>
        <w:t xml:space="preserve">section of this course. Software management in workflows can be don in many ways so finding what works best for your work is often an iterative process.</w:t>
      </w:r>
    </w:p>
    <w:bookmarkEnd w:id="55"/>
    <w:bookmarkEnd w:id="56"/>
    <w:bookmarkEnd w:id="57"/>
    <w:bookmarkStart w:id="66" w:name="guidance-and-support"/>
    <w:p>
      <w:pPr>
        <w:pStyle w:val="Heading2"/>
      </w:pPr>
      <w:r>
        <w:rPr>
          <w:rStyle w:val="SectionNumber"/>
        </w:rPr>
        <w:t xml:space="preserve">3.3</w:t>
      </w:r>
      <w:r>
        <w:tab/>
      </w:r>
      <w:r>
        <w:t xml:space="preserve">Guidance and Support</w:t>
      </w:r>
    </w:p>
    <w:p>
      <w:pPr>
        <w:pStyle w:val="FirstParagraph"/>
      </w:pPr>
      <w:r>
        <w:t xml:space="preserve">There are a variety of resources on campus from the</w:t>
      </w:r>
      <w:r>
        <w:t xml:space="preserve"> </w:t>
      </w:r>
      <w:hyperlink r:id="rId58">
        <w:r>
          <w:rPr>
            <w:rStyle w:val="Hyperlink"/>
          </w:rPr>
          <w:t xml:space="preserve">SciWiki</w:t>
        </w:r>
      </w:hyperlink>
      <w:r>
        <w:t xml:space="preserve"> </w:t>
      </w:r>
      <w:r>
        <w:t xml:space="preserve">to SciComp office hours (found in the Research Data Support Teams team) to asking questions in the</w:t>
      </w:r>
      <w:r>
        <w:t xml:space="preserve"> </w:t>
      </w:r>
      <w:hyperlink r:id="rId59">
        <w:r>
          <w:rPr>
            <w:rStyle w:val="Hyperlink"/>
          </w:rPr>
          <w:t xml:space="preserve">FH Data Slack #question-and-answer channel</w:t>
        </w:r>
      </w:hyperlink>
      <w:r>
        <w:t xml:space="preserve"> </w:t>
      </w:r>
      <w:r>
        <w:t xml:space="preserve">to coming to the</w:t>
      </w:r>
      <w:r>
        <w:t xml:space="preserve"> </w:t>
      </w:r>
      <w:hyperlink r:id="rId60">
        <w:r>
          <w:rPr>
            <w:rStyle w:val="Hyperlink"/>
          </w:rPr>
          <w:t xml:space="preserve">Effective Computing Drop in hours held by Fred Hutch DaSL</w:t>
        </w:r>
      </w:hyperlink>
      <w:r>
        <w:t xml:space="preserve">.</w:t>
      </w:r>
    </w:p>
    <w:bookmarkStart w:id="62" w:name="effective-computing-user-group"/>
    <w:p>
      <w:pPr>
        <w:pStyle w:val="Heading3"/>
      </w:pPr>
      <w:r>
        <w:rPr>
          <w:rStyle w:val="SectionNumber"/>
        </w:rPr>
        <w:t xml:space="preserve">3.3.1</w:t>
      </w:r>
      <w:r>
        <w:tab/>
      </w:r>
      <w:r>
        <w:t xml:space="preserve">Effective Computing User Group</w:t>
      </w:r>
    </w:p>
    <w:p>
      <w:pPr>
        <w:pStyle w:val="FirstParagraph"/>
      </w:pPr>
      <w:r>
        <w:t xml:space="preserve">This is a drop-in style biweekly meeting that provides resources for folks to talk about their computational work and improve over time. Find current events by checking out the FH Data Slack workspace</w:t>
      </w:r>
      <w:r>
        <w:t xml:space="preserve"> </w:t>
      </w:r>
      <w:hyperlink r:id="rId61">
        <w:r>
          <w:rPr>
            <w:rStyle w:val="Hyperlink"/>
          </w:rPr>
          <w:t xml:space="preserve">here</w:t>
        </w:r>
      </w:hyperlink>
      <w:r>
        <w:t xml:space="preserve">.</w:t>
      </w:r>
    </w:p>
    <w:bookmarkEnd w:id="62"/>
    <w:bookmarkStart w:id="65" w:name="slack-workflow-managers"/>
    <w:p>
      <w:pPr>
        <w:pStyle w:val="Heading3"/>
      </w:pPr>
      <w:r>
        <w:rPr>
          <w:rStyle w:val="SectionNumber"/>
        </w:rPr>
        <w:t xml:space="preserve">3.3.2</w:t>
      </w:r>
      <w:r>
        <w:tab/>
      </w:r>
      <w:r>
        <w:t xml:space="preserve">Slack Workflow Managers</w:t>
      </w:r>
    </w:p>
    <w:p>
      <w:pPr>
        <w:pStyle w:val="FirstParagraph"/>
      </w:pPr>
      <w:r>
        <w:t xml:space="preserve">In the</w:t>
      </w:r>
      <w:r>
        <w:t xml:space="preserve"> </w:t>
      </w:r>
      <w:hyperlink r:id="rId63">
        <w:r>
          <w:rPr>
            <w:rStyle w:val="Hyperlink"/>
          </w:rPr>
          <w:t xml:space="preserve">FH Data Slack workspace</w:t>
        </w:r>
      </w:hyperlink>
      <w:r>
        <w:t xml:space="preserve"> </w:t>
      </w:r>
      <w:r>
        <w:t xml:space="preserve">there is a specific channel where you can find help from peers and staff who support Cromwell and WDL here at the Hutch called</w:t>
      </w:r>
      <w:r>
        <w:t xml:space="preserve"> </w:t>
      </w:r>
      <w:hyperlink r:id="rId64">
        <w:r>
          <w:rPr>
            <w:rStyle w:val="Hyperlink"/>
          </w:rPr>
          <w:t xml:space="preserve">#workflow-managers</w:t>
        </w:r>
      </w:hyperlink>
    </w:p>
    <w:bookmarkEnd w:id="65"/>
    <w:bookmarkEnd w:id="66"/>
    <w:bookmarkEnd w:id="67"/>
    <w:bookmarkStart w:id="75" w:name="using-the-fh.wdlr-package"/>
    <w:p>
      <w:pPr>
        <w:pStyle w:val="Heading1"/>
      </w:pPr>
      <w:r>
        <w:rPr>
          <w:rStyle w:val="SectionNumber"/>
        </w:rPr>
        <w:t xml:space="preserve">4</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Crowmell servers is built using an R package which is freely available in GitHub.</w:t>
      </w:r>
    </w:p>
    <w:p>
      <w:pPr>
        <w:pStyle w:val="BodyText"/>
      </w:pPr>
      <w:hyperlink r:id="rId68">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69" w:name="install-from-github"/>
    <w:p>
      <w:pPr>
        <w:pStyle w:val="Heading2"/>
      </w:pPr>
      <w:r>
        <w:rPr>
          <w:rStyle w:val="SectionNumber"/>
        </w:rPr>
        <w:t xml:space="preserve">4.1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69"/>
    <w:bookmarkStart w:id="73" w:name="example-workflow-process"/>
    <w:p>
      <w:pPr>
        <w:pStyle w:val="Heading2"/>
      </w:pPr>
      <w:r>
        <w:rPr>
          <w:rStyle w:val="SectionNumber"/>
        </w:rPr>
        <w:t xml:space="preserve">4.2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0" w:name="validate-your-workflow-using-womtool"/>
    <w:p>
      <w:pPr>
        <w:pStyle w:val="Heading3"/>
      </w:pPr>
      <w:r>
        <w:rPr>
          <w:rStyle w:val="SectionNumber"/>
        </w:rPr>
        <w:t xml:space="preserve">4.2.1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Crowmell.</w:t>
      </w:r>
    </w:p>
    <w:bookmarkEnd w:id="70"/>
    <w:bookmarkStart w:id="71" w:name="submit-workflows"/>
    <w:p>
      <w:pPr>
        <w:pStyle w:val="Heading3"/>
      </w:pPr>
      <w:r>
        <w:rPr>
          <w:rStyle w:val="SectionNumber"/>
        </w:rPr>
        <w:t xml:space="preserve">4.2.2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1"/>
    <w:bookmarkStart w:id="72" w:name="track-workflows"/>
    <w:p>
      <w:pPr>
        <w:pStyle w:val="Heading3"/>
      </w:pPr>
      <w:r>
        <w:rPr>
          <w:rStyle w:val="SectionNumber"/>
        </w:rPr>
        <w:t xml:space="preserve">4.2.3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2"/>
    <w:bookmarkEnd w:id="73"/>
    <w:bookmarkStart w:id="74" w:name="look-under-the-hood"/>
    <w:p>
      <w:pPr>
        <w:pStyle w:val="Heading2"/>
      </w:pPr>
      <w:r>
        <w:rPr>
          <w:rStyle w:val="SectionNumber"/>
        </w:rPr>
        <w:t xml:space="preserve">4.3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4"/>
    <w:bookmarkEnd w:id="75"/>
    <w:bookmarkStart w:id="81" w:name="about-the-authors"/>
    <w:p>
      <w:pPr>
        <w:pStyle w:val="Heading1"/>
      </w:pPr>
      <w:r>
        <w:t xml:space="preserve">About the Authors</w:t>
      </w:r>
    </w:p>
    <w:p>
      <w:pPr>
        <w:pStyle w:val="FirstParagraph"/>
      </w:pPr>
      <w:r>
        <w:t xml:space="preserve">These credits are based on our</w:t>
      </w:r>
      <w:r>
        <w:t xml:space="preserve"> </w:t>
      </w:r>
      <w:hyperlink r:id="rId7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79">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0">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1"/>
    <w:bookmarkStart w:id="83" w:name="references"/>
    <w:p>
      <w:pPr>
        <w:pStyle w:val="Heading1"/>
      </w:pPr>
      <w:r>
        <w:rPr>
          <w:rStyle w:val="SectionNumber"/>
        </w:rPr>
        <w:t xml:space="preserve">5</w:t>
      </w:r>
      <w:r>
        <w:tab/>
      </w:r>
      <w:r>
        <w:t xml:space="preserve">References</w:t>
      </w:r>
    </w:p>
    <w:p>
      <w:pPr>
        <w:pStyle w:val="FirstParagraph"/>
      </w:pPr>
      <w:r>
        <w:t xml:space="preserve">We borrowed content with permission from the OpenWDL group’s ongoing work to creating documentation in their GitHub repository</w:t>
      </w:r>
      <w:r>
        <w:t xml:space="preserve"> </w:t>
      </w:r>
      <w:hyperlink r:id="rId82">
        <w:r>
          <w:rPr>
            <w:rStyle w:val="Hyperlink"/>
          </w:rPr>
          <w:t xml:space="preserve">https://github.com/openwdl/wdl-docs</w:t>
        </w:r>
      </w:hyperlink>
      <w:r>
        <w:t xml:space="preserv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1" Target="https://fhdata.slack.com" TargetMode="External" /><Relationship Type="http://schemas.openxmlformats.org/officeDocument/2006/relationships/hyperlink" Id="rId63" Target="https://fhdata.slack.com/" TargetMode="External" /><Relationship Type="http://schemas.openxmlformats.org/officeDocument/2006/relationships/hyperlink" Id="rId60" Target="https://fhdata.slack.com/archives/C03T4QPNDA9" TargetMode="External" /><Relationship Type="http://schemas.openxmlformats.org/officeDocument/2006/relationships/hyperlink" Id="rId59" Target="https://fhdata.slack.com/archives/CD3HGJHJT" TargetMode="External" /><Relationship Type="http://schemas.openxmlformats.org/officeDocument/2006/relationships/hyperlink" Id="rId64"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8" Target="https://github.com/FredHutch/fh.wdlR" TargetMode="External" /><Relationship Type="http://schemas.openxmlformats.org/officeDocument/2006/relationships/hyperlink" Id="rId79" Target="https://github.com/jhudsl/ottrpal" TargetMode="External" /><Relationship Type="http://schemas.openxmlformats.org/officeDocument/2006/relationships/hyperlink" Id="rId82" Target="https://github.com/openwdl/wdl-docs" TargetMode="External" /><Relationship Type="http://schemas.openxmlformats.org/officeDocument/2006/relationships/hyperlink" Id="rId80"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1" Target="https://sciwiki.fredhutch.org/scicomputing/" TargetMode="External" /><Relationship Type="http://schemas.openxmlformats.org/officeDocument/2006/relationships/hyperlink" Id="rId52"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8" Target="https://sciwiki.fredutch.org" TargetMode="External" /><Relationship Type="http://schemas.openxmlformats.org/officeDocument/2006/relationships/hyperlink" Id="rId77" Target="https://www.cansavvy.com/" TargetMode="External" /><Relationship Type="http://schemas.openxmlformats.org/officeDocument/2006/relationships/hyperlink" Id="rId76"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8" Target="https://carriewright11.github.io/" TargetMode="External" /><Relationship Type="http://schemas.openxmlformats.org/officeDocument/2006/relationships/hyperlink" Id="rId36" Target="https://cromwellapp.fredhutch.org/" TargetMode="External" /><Relationship Type="http://schemas.openxmlformats.org/officeDocument/2006/relationships/hyperlink" Id="rId30" Target="https://fhbig.slack.com/archives/CD3HGJHJT" TargetMode="External" /><Relationship Type="http://schemas.openxmlformats.org/officeDocument/2006/relationships/hyperlink" Id="rId61" Target="https://fhdata.slack.com" TargetMode="External" /><Relationship Type="http://schemas.openxmlformats.org/officeDocument/2006/relationships/hyperlink" Id="rId63" Target="https://fhdata.slack.com/" TargetMode="External" /><Relationship Type="http://schemas.openxmlformats.org/officeDocument/2006/relationships/hyperlink" Id="rId60" Target="https://fhdata.slack.com/archives/C03T4QPNDA9" TargetMode="External" /><Relationship Type="http://schemas.openxmlformats.org/officeDocument/2006/relationships/hyperlink" Id="rId59" Target="https://fhdata.slack.com/archives/CD3HGJHJT" TargetMode="External" /><Relationship Type="http://schemas.openxmlformats.org/officeDocument/2006/relationships/hyperlink" Id="rId64" Target="https://fhdata.slack.com/archives/CJFP1NYSZ" TargetMode="External" /><Relationship Type="http://schemas.openxmlformats.org/officeDocument/2006/relationships/hyperlink" Id="rId46" Target="https://github.com/FredHutch/diy-cromwell-server/tree/main/testWorkflows" TargetMode="External" /><Relationship Type="http://schemas.openxmlformats.org/officeDocument/2006/relationships/hyperlink" Id="rId68" Target="https://github.com/FredHutch/fh.wdlR" TargetMode="External" /><Relationship Type="http://schemas.openxmlformats.org/officeDocument/2006/relationships/hyperlink" Id="rId79" Target="https://github.com/jhudsl/ottrpal" TargetMode="External" /><Relationship Type="http://schemas.openxmlformats.org/officeDocument/2006/relationships/hyperlink" Id="rId82" Target="https://github.com/openwdl/wdl-docs" TargetMode="External" /><Relationship Type="http://schemas.openxmlformats.org/officeDocument/2006/relationships/hyperlink" Id="rId80" Target="https://johnmuschelli.com/" TargetMode="External" /><Relationship Type="http://schemas.openxmlformats.org/officeDocument/2006/relationships/hyperlink" Id="rId21" Target="https://leanpub.com/courses/fredhutch/fredhutchcluster101" TargetMode="External" /><Relationship Type="http://schemas.openxmlformats.org/officeDocument/2006/relationships/hyperlink" Id="rId27" Target="https://mydb.fredhutch.org/login" TargetMode="External" /><Relationship Type="http://schemas.openxmlformats.org/officeDocument/2006/relationships/hyperlink" Id="rId22" Target="https://sciwiki.fredhutch.org/" TargetMode="External" /><Relationship Type="http://schemas.openxmlformats.org/officeDocument/2006/relationships/hyperlink" Id="rId51" Target="https://sciwiki.fredhutch.org/scicomputing/" TargetMode="External" /><Relationship Type="http://schemas.openxmlformats.org/officeDocument/2006/relationships/hyperlink" Id="rId52" Target="https://sciwiki.fredhutch.org/scicomputing/compute_scientificSoftware/" TargetMode="External" /><Relationship Type="http://schemas.openxmlformats.org/officeDocument/2006/relationships/hyperlink" Id="rId28" Target="https://sciwiki.fredhutch.org/scicomputing/store_databases/#db4sci--previously-mydb" TargetMode="External" /><Relationship Type="http://schemas.openxmlformats.org/officeDocument/2006/relationships/hyperlink" Id="rId58" Target="https://sciwiki.fredutch.org" TargetMode="External" /><Relationship Type="http://schemas.openxmlformats.org/officeDocument/2006/relationships/hyperlink" Id="rId77" Target="https://www.cansavvy.com/" TargetMode="External" /><Relationship Type="http://schemas.openxmlformats.org/officeDocument/2006/relationships/hyperlink" Id="rId76"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using the Fred Hutch computing cluster.</dc:description>
  <cp:keywords/>
  <dcterms:created xsi:type="dcterms:W3CDTF">2022-10-28T04:13:58Z</dcterms:created>
  <dcterms:modified xsi:type="dcterms:W3CDTF">2022-10-28T04:13:58Z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