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128.png" ContentType="image/png"/>
  <Override PartName="/word/media/rId131.png" ContentType="image/png"/>
  <Override PartName="/word/media/rId134.png" ContentType="image/png"/>
  <Override PartName="/word/media/rId112.png" ContentType="image/png"/>
  <Override PartName="/word/media/rId115.png" ContentType="image/png"/>
  <Override PartName="/word/media/rId122.png" ContentType="image/png"/>
  <Override PartName="/word/media/rId125.png" ContentType="image/png"/>
  <Override PartName="/word/media/rId139.png" ContentType="image/png"/>
  <Override PartName="/word/media/rId143.png" ContentType="image/png"/>
  <Override PartName="/word/media/rId146.png" ContentType="image/png"/>
  <Override PartName="/word/media/rId149.png" ContentType="image/png"/>
  <Override PartName="/word/media/rId74.png" ContentType="image/png"/>
  <Override PartName="/word/media/rId77.png" ContentType="image/png"/>
  <Override PartName="/word/media/rId80.png" ContentType="image/png"/>
  <Override PartName="/word/media/rId83.png" ContentType="image/png"/>
  <Override PartName="/word/media/rId102.png" ContentType="image/png"/>
  <Override PartName="/word/media/rId105.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42.png" ContentType="image/png"/>
  <Override PartName="/word/media/rId69.png" ContentType="image/png"/>
  <Override PartName="/word/media/rId48.png" ContentType="image/png"/>
  <Override PartName="/word/media/rId45.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in</w:t>
      </w:r>
      <w:r>
        <w:t xml:space="preserve"> </w:t>
      </w:r>
      <w:r>
        <w:t xml:space="preserve">the</w:t>
      </w:r>
      <w:r>
        <w:t xml:space="preserve"> </w:t>
      </w:r>
      <w:r>
        <w:t xml:space="preserve">Classroom:</w:t>
      </w:r>
      <w:r>
        <w:t xml:space="preserve"> </w:t>
      </w:r>
      <w:r>
        <w:t xml:space="preserve">Antimicrobial</w:t>
      </w:r>
      <w:r>
        <w:t xml:space="preserve"> </w:t>
      </w:r>
      <w:r>
        <w:t xml:space="preserve">Resistance</w:t>
      </w:r>
    </w:p>
    <w:p>
      <w:pPr>
        <w:pStyle w:val="Date"/>
      </w:pPr>
      <w:r>
        <w:t xml:space="preserve">August</w:t>
      </w:r>
      <w:r>
        <w:t xml:space="preserve"> </w:t>
      </w:r>
      <w:r>
        <w:t xml:space="preserve">23,</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this-book"/>
    <w:p>
      <w:pPr>
        <w:pStyle w:val="Heading1"/>
      </w:pPr>
      <w:r>
        <w:t xml:space="preserve">About this Book</w:t>
      </w:r>
    </w:p>
    <w:p>
      <w:pPr>
        <w:pStyle w:val="FirstParagraph"/>
      </w:pPr>
      <w:r>
        <w:t xml:space="preserve">This is a companion training guide for BioDIGS, a GDSCN project that brings a research experience into the classroom. In this module, students will investigate whether metagenomic samples from the BioDIGS project contain either antimicrobial resistance genes or biosynthesis genes. They will run analyses using ABRicate as implemented on Galaxy.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skills-level"/>
    <w:p>
      <w:pPr>
        <w:pStyle w:val="Heading2"/>
      </w:pPr>
      <w:r>
        <w:rPr>
          <w:rStyle w:val="SectionNumber"/>
        </w:rPr>
        <w:t xml:space="preserve">0.1</w:t>
      </w:r>
      <w:r>
        <w:tab/>
      </w:r>
      <w:r>
        <w:t xml:space="preserve">Skills Level</w:t>
      </w:r>
    </w:p>
    <w:p>
      <w:pPr>
        <w:pStyle w:val="FirstParagraph"/>
      </w:pPr>
      <w:r>
        <w:t xml:space="preserve">The activities in this guide are written for undergraduate students and beginning graduate students.</w:t>
      </w:r>
    </w:p>
    <w:p>
      <w:pPr>
        <w:pStyle w:val="BodyText"/>
      </w:pPr>
      <w:r>
        <w:rPr>
          <w:iCs/>
          <w:i/>
        </w:rPr>
        <w:t xml:space="preserve">Genetics</w:t>
      </w:r>
      <w:r>
        <w:t xml:space="preserve"> </w:t>
      </w:r>
    </w:p>
    <w:p>
      <w:pPr>
        <w:pStyle w:val="BodyText"/>
      </w:pPr>
      <w:r>
        <w:rPr>
          <w:iCs/>
          <w:i/>
        </w:rPr>
        <w:t xml:space="preserve">Programming skills</w:t>
      </w:r>
      <w:r>
        <w:t xml:space="preserve"> </w:t>
      </w:r>
    </w:p>
    <w:bookmarkEnd w:id="25"/>
    <w:bookmarkStart w:id="29"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t xml:space="preserve">Please check out our full collection of AnVIL and related resources:</w:t>
      </w:r>
      <w:r>
        <w:t xml:space="preserve"> </w:t>
      </w:r>
      <w:hyperlink r:id="rId28">
        <w:r>
          <w:rPr>
            <w:rStyle w:val="Hyperlink"/>
          </w:rPr>
          <w:t xml:space="preserve">https://hutchdatascience.org/AnVIL_Collection/</w:t>
        </w:r>
      </w:hyperlink>
    </w:p>
    <w:bookmarkEnd w:id="29"/>
    <w:bookmarkStart w:id="35"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0">
        <w:r>
          <w:rPr>
            <w:rStyle w:val="Hyperlink"/>
          </w:rPr>
          <w:t xml:space="preserve">BioDIGS website</w:t>
        </w:r>
      </w:hyperlink>
      <w:r>
        <w:t xml:space="preserve">, as well as through an</w:t>
      </w:r>
      <w:r>
        <w:t xml:space="preserve"> </w:t>
      </w:r>
      <w:hyperlink r:id="rId31">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2">
        <w:r>
          <w:rPr>
            <w:rStyle w:val="Hyperlink"/>
          </w:rPr>
          <w:t xml:space="preserve">Delaware Soil Testing Program</w:t>
        </w:r>
      </w:hyperlink>
      <w:r>
        <w:t xml:space="preserve"> </w:t>
      </w:r>
      <w:r>
        <w:t xml:space="preserve">at the University of Delaware. Sequences were generated by the</w:t>
      </w:r>
      <w:r>
        <w:t xml:space="preserve"> </w:t>
      </w:r>
      <w:hyperlink r:id="rId33">
        <w:r>
          <w:rPr>
            <w:rStyle w:val="Hyperlink"/>
          </w:rPr>
          <w:t xml:space="preserve">Johns Hopkins University Genetic Resources Core Facility</w:t>
        </w:r>
      </w:hyperlink>
      <w:r>
        <w:t xml:space="preserve"> </w:t>
      </w:r>
      <w:r>
        <w:t xml:space="preserve">and by</w:t>
      </w:r>
      <w:r>
        <w:t xml:space="preserve"> </w:t>
      </w:r>
      <w:hyperlink r:id="rId34">
        <w:r>
          <w:rPr>
            <w:rStyle w:val="Hyperlink"/>
          </w:rPr>
          <w:t xml:space="preserve">PacBio</w:t>
        </w:r>
      </w:hyperlink>
      <w:r>
        <w:t xml:space="preserve">.</w:t>
      </w:r>
    </w:p>
    <w:bookmarkEnd w:id="35"/>
    <w:bookmarkEnd w:id="36"/>
    <w:bookmarkStart w:id="110" w:name="using-rstudio-on-anvil"/>
    <w:p>
      <w:pPr>
        <w:pStyle w:val="Heading1"/>
      </w:pPr>
      <w:r>
        <w:rPr>
          <w:rStyle w:val="SectionNumber"/>
        </w:rPr>
        <w:t xml:space="preserve">1</w:t>
      </w:r>
      <w:r>
        <w:tab/>
      </w:r>
      <w:r>
        <w:t xml:space="preserve">Using RStudio on AnVIL</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w:t>
      </w:r>
    </w:p>
    <w:bookmarkStart w:id="40" w:name="video-overview-of-rstudio-on-anvil"/>
    <w:p>
      <w:pPr>
        <w:pStyle w:val="Heading2"/>
      </w:pPr>
      <w:r>
        <w:rPr>
          <w:rStyle w:val="SectionNumber"/>
        </w:rPr>
        <w:t xml:space="preserve">1.1</w:t>
      </w:r>
      <w:r>
        <w:tab/>
      </w:r>
      <w:r>
        <w:t xml:space="preserve">Video overview of RStudio on AnVIL</w:t>
      </w:r>
    </w:p>
    <w:p>
      <w:pPr>
        <w:pStyle w:val="FirstParagraph"/>
      </w:pPr>
      <w:r>
        <w:t xml:space="preserve">Here is a video tutorial that describes the basics of using RStudio on AnVIL.</w:t>
      </w:r>
    </w:p>
    <w:bookmarkStart w:id="37" w:name="objectives"/>
    <w:p>
      <w:pPr>
        <w:pStyle w:val="Heading3"/>
      </w:pPr>
      <w:r>
        <w:rPr>
          <w:rStyle w:val="SectionNumber"/>
        </w:rPr>
        <w:t xml:space="preserve">1.1.1</w:t>
      </w:r>
      <w:r>
        <w:tab/>
      </w:r>
      <w:r>
        <w:t xml:space="preserve">Objectives</w:t>
      </w:r>
    </w:p>
    <w:p>
      <w:pPr>
        <w:numPr>
          <w:ilvl w:val="0"/>
          <w:numId w:val="1001"/>
        </w:numPr>
        <w:pStyle w:val="Compact"/>
      </w:pPr>
      <w:r>
        <w:t xml:space="preserve">Start compute for your RStudio environment</w:t>
      </w:r>
    </w:p>
    <w:p>
      <w:pPr>
        <w:numPr>
          <w:ilvl w:val="0"/>
          <w:numId w:val="1001"/>
        </w:numPr>
        <w:pStyle w:val="Compact"/>
      </w:pPr>
      <w:r>
        <w:t xml:space="preserve">Tour RStudio on AnVIL</w:t>
      </w:r>
    </w:p>
    <w:p>
      <w:pPr>
        <w:numPr>
          <w:ilvl w:val="0"/>
          <w:numId w:val="1001"/>
        </w:numPr>
        <w:pStyle w:val="Compact"/>
      </w:pPr>
      <w:r>
        <w:t xml:space="preserve">Stop compute to minimize expenses</w:t>
      </w:r>
    </w:p>
    <w:bookmarkEnd w:id="37"/>
    <w:bookmarkStart w:id="39" w:name="slides"/>
    <w:p>
      <w:pPr>
        <w:pStyle w:val="Heading3"/>
      </w:pPr>
      <w:r>
        <w:rPr>
          <w:rStyle w:val="SectionNumber"/>
        </w:rPr>
        <w:t xml:space="preserve">1.1.2</w:t>
      </w:r>
      <w:r>
        <w:tab/>
      </w:r>
      <w:r>
        <w:t xml:space="preserve">Slides</w:t>
      </w:r>
    </w:p>
    <w:p>
      <w:pPr>
        <w:pStyle w:val="FirstParagraph"/>
      </w:pPr>
      <w:r>
        <w:t xml:space="preserve">The slides for this tutorial are are located</w:t>
      </w:r>
      <w:r>
        <w:t xml:space="preserve"> </w:t>
      </w:r>
      <w:hyperlink r:id="rId38">
        <w:r>
          <w:rPr>
            <w:rStyle w:val="Hyperlink"/>
          </w:rPr>
          <w:t xml:space="preserve">here</w:t>
        </w:r>
      </w:hyperlink>
      <w:r>
        <w:t xml:space="preserve">.</w:t>
      </w:r>
    </w:p>
    <w:bookmarkEnd w:id="39"/>
    <w:bookmarkEnd w:id="40"/>
    <w:bookmarkStart w:id="72" w:name="launching-rstudio"/>
    <w:p>
      <w:pPr>
        <w:pStyle w:val="Heading2"/>
      </w:pPr>
      <w:r>
        <w:rPr>
          <w:rStyle w:val="SectionNumber"/>
        </w:rPr>
        <w:t xml:space="preserve">1.2</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2"/>
        </w:numPr>
      </w:pPr>
      <w:r>
        <w:t xml:space="preserve">Open Terra - use a web browser to go to</w:t>
      </w:r>
      <w:r>
        <w:t xml:space="preserve"> </w:t>
      </w:r>
      <w:hyperlink r:id="rId41">
        <w:r>
          <w:rPr>
            <w:rStyle w:val="VerbatimChar"/>
          </w:rPr>
          <w:t xml:space="preserve">anvil.terra.bio</w:t>
        </w:r>
      </w:hyperlink>
    </w:p>
    <w:p>
      <w:pPr>
        <w:numPr>
          <w:ilvl w:val="0"/>
          <w:numId w:val="100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43" name="Picture"/>
            <a:graphic>
              <a:graphicData uri="http://schemas.openxmlformats.org/drawingml/2006/picture">
                <pic:pic>
                  <pic:nvPicPr>
                    <pic:cNvPr descr="resources/images/08-student_guide_files/figure-docx//1a35Mb8f0M-bQkBcHa1cyQc6YxXoBLtExCz96nv08vkA_g117989bd49c_0_150.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2"/>
        </w:numPr>
      </w:pPr>
      <w:r>
        <w:t xml:space="preserve">Click on the cloud icon on the far right to access your Cloud Environment options.</w:t>
      </w:r>
    </w:p>
    <w:p>
      <w:pPr>
        <w:numPr>
          <w:ilvl w:val="0"/>
          <w:numId w:val="1000"/>
        </w:numPr>
      </w:pPr>
      <w:r>
        <w:drawing>
          <wp:inline>
            <wp:extent cx="5334000" cy="3000375"/>
            <wp:effectExtent b="0" l="0" r="0" t="0"/>
            <wp:docPr descr="" title="" id="46" name="Picture"/>
            <a:graphic>
              <a:graphicData uri="http://schemas.openxmlformats.org/drawingml/2006/picture">
                <pic:pic>
                  <pic:nvPicPr>
                    <pic:cNvPr descr="resources/images/08-student_guide_files/figure-docx//1a35Mb8f0M-bQkBcHa1cyQc6YxXoBLtExCz96nv08vkA_g14ea2db115d_0_22.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49" name="Picture"/>
            <a:graphic>
              <a:graphicData uri="http://schemas.openxmlformats.org/drawingml/2006/picture">
                <pic:pic>
                  <pic:nvPicPr>
                    <pic:cNvPr descr="resources/images/08-student_guide_files/figure-docx//1a35Mb8f0M-bQkBcHa1cyQc6YxXoBLtExCz96nv08vkA_g14ea2db115d_0_18.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334000" cy="3000375"/>
            <wp:effectExtent b="0" l="0" r="0" t="0"/>
            <wp:docPr descr="" title="" id="52" name="Picture"/>
            <a:graphic>
              <a:graphicData uri="http://schemas.openxmlformats.org/drawingml/2006/picture">
                <pic:pic>
                  <pic:nvPicPr>
                    <pic:cNvPr descr="resources/images/08-student_guide_files/figure-docx//1a35Mb8f0M-bQkBcHa1cyQc6YxXoBLtExCz96nv08vkA_g14ea2db115d_0_35.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334000" cy="3000375"/>
            <wp:effectExtent b="0" l="0" r="0" t="0"/>
            <wp:docPr descr="" title="" id="55" name="Picture"/>
            <a:graphic>
              <a:graphicData uri="http://schemas.openxmlformats.org/drawingml/2006/picture">
                <pic:pic>
                  <pic:nvPicPr>
                    <pic:cNvPr descr="resources/images/08-student_guide_files/figure-docx//1a35Mb8f0M-bQkBcHa1cyQc6YxXoBLtExCz96nv08vkA_g14ea2db115d_0_41.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resources/images/08-student_guide_files/figure-docx//1a35Mb8f0M-bQkBcHa1cyQc6YxXoBLtExCz96nv08vkA_g14ea2db115d_0_4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resources/images/08-student_guide_files/figure-docx//1a35Mb8f0M-bQkBcHa1cyQc6YxXoBLtExCz96nv08vkA_g14ea2db115d_0_9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resources/images/08-student_guide_files/figure-docx//1a35Mb8f0M-bQkBcHa1cyQc6YxXoBLtExCz96nv08vkA_g14ea2db115d_0_95.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resources/images/08-student_guide_files/figure-docx//1a35Mb8f0M-bQkBcHa1cyQc6YxXoBLtExCz96nv08vkA_g14ea2db115d_0_99.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70" name="Picture"/>
            <a:graphic>
              <a:graphicData uri="http://schemas.openxmlformats.org/drawingml/2006/picture">
                <pic:pic>
                  <pic:nvPicPr>
                    <pic:cNvPr descr="resources/images/08-student_guide_files/figure-docx//1a35Mb8f0M-bQkBcHa1cyQc6YxXoBLtExCz96nv08vkA_g14ea2db115d_0_103.png" id="71"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bookmarkEnd w:id="72"/>
    <w:bookmarkStart w:id="101" w:name="touring-rstudio"/>
    <w:p>
      <w:pPr>
        <w:pStyle w:val="Heading2"/>
      </w:pPr>
      <w:r>
        <w:rPr>
          <w:rStyle w:val="SectionNumber"/>
        </w:rPr>
        <w:t xml:space="preserve">1.3</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3">
        <w:r>
          <w:rPr>
            <w:rStyle w:val="Hyperlink"/>
          </w:rPr>
          <w:t xml:space="preserve">this vignette</w:t>
        </w:r>
      </w:hyperlink>
      <w:r>
        <w:t xml:space="preserve"> </w:t>
      </w:r>
      <w:r>
        <w:t xml:space="preserve">for more information.</w:t>
      </w:r>
    </w:p>
    <w:p>
      <w:pPr>
        <w:numPr>
          <w:ilvl w:val="0"/>
          <w:numId w:val="100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75" name="Picture"/>
            <a:graphic>
              <a:graphicData uri="http://schemas.openxmlformats.org/drawingml/2006/picture">
                <pic:pic>
                  <pic:nvPicPr>
                    <pic:cNvPr descr="resources/images/08-student_guide_files/figure-docx//1BLTCaogA04bbeSD1tR1Wt-mVceQA6FHXa8FmFzIARrg_g11f12bc99af_0_49.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![](resources/images/08-student_guide_files/figure-docx//1BLTCaogA04bbeSD1tR1Wt-mVceQA6FHXa8FmFzIARrg_g11f12bc99af_0_56.png)</w:t>
      </w:r>
    </w:p>
    <w:p>
      <w:pPr>
        <w:numPr>
          <w:ilvl w:val="0"/>
          <w:numId w:val="1004"/>
        </w:numPr>
      </w:pPr>
      <w:r>
        <w:t xml:space="preserve">Load the example data.</w:t>
      </w:r>
    </w:p>
    <w:p>
      <w:pPr>
        <w:numPr>
          <w:ilvl w:val="0"/>
          <w:numId w:val="1000"/>
        </w:numPr>
      </w:pPr>
      <w:r>
        <w:drawing>
          <wp:inline>
            <wp:extent cx="5334000" cy="3000375"/>
            <wp:effectExtent b="0" l="0" r="0" t="0"/>
            <wp:docPr descr="" title="" id="78" name="Picture"/>
            <a:graphic>
              <a:graphicData uri="http://schemas.openxmlformats.org/drawingml/2006/picture">
                <pic:pic>
                  <pic:nvPicPr>
                    <pic:cNvPr descr="resources/images/08-student_guide_files/figure-docx//1BLTCaogA04bbeSD1tR1Wt-mVceQA6FHXa8FmFzIARrg_g11f12bc99af_0_56.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81" name="Picture"/>
            <a:graphic>
              <a:graphicData uri="http://schemas.openxmlformats.org/drawingml/2006/picture">
                <pic:pic>
                  <pic:nvPicPr>
                    <pic:cNvPr descr="resources/images/08-student_guide_files/figure-docx//1BLTCaogA04bbeSD1tR1Wt-mVceQA6FHXa8FmFzIARrg_g11f12bc99af_0_7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84" name="Picture"/>
            <a:graphic>
              <a:graphicData uri="http://schemas.openxmlformats.org/drawingml/2006/picture">
                <pic:pic>
                  <pic:nvPicPr>
                    <pic:cNvPr descr="resources/images/08-student_guide_files/figure-docx//1BLTCaogA04bbeSD1tR1Wt-mVceQA6FHXa8FmFzIARrg_g11f12bc99af_0_77.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87" name="Picture"/>
            <a:graphic>
              <a:graphicData uri="http://schemas.openxmlformats.org/drawingml/2006/picture">
                <pic:pic>
                  <pic:nvPicPr>
                    <pic:cNvPr descr="resources/images/08-student_guide_files/figure-docx//1BLTCaogA04bbeSD1tR1Wt-mVceQA6FHXa8FmFzIARrg_g1204ed6da7f_0_0.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90" name="Picture"/>
            <a:graphic>
              <a:graphicData uri="http://schemas.openxmlformats.org/drawingml/2006/picture">
                <pic:pic>
                  <pic:nvPicPr>
                    <pic:cNvPr descr="resources/images/08-student_guide_files/figure-docx//1BLTCaogA04bbeSD1tR1Wt-mVceQA6FHXa8FmFzIARrg_g1204ed6da7f_0_12.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93" name="Picture"/>
            <a:graphic>
              <a:graphicData uri="http://schemas.openxmlformats.org/drawingml/2006/picture">
                <pic:pic>
                  <pic:nvPicPr>
                    <pic:cNvPr descr="resources/images/08-student_guide_files/figure-docx//1BLTCaogA04bbeSD1tR1Wt-mVceQA6FHXa8FmFzIARrg_g1204ed6da7f_0_19.png" id="94"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96" name="Picture"/>
            <a:graphic>
              <a:graphicData uri="http://schemas.openxmlformats.org/drawingml/2006/picture">
                <pic:pic>
                  <pic:nvPicPr>
                    <pic:cNvPr descr="resources/images/08-student_guide_files/figure-docx//1BLTCaogA04bbeSD1tR1Wt-mVceQA6FHXa8FmFzIARrg_g1204ed6db6a_0_0.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99" name="Picture"/>
            <a:graphic>
              <a:graphicData uri="http://schemas.openxmlformats.org/drawingml/2006/picture">
                <pic:pic>
                  <pic:nvPicPr>
                    <pic:cNvPr descr="resources/images/08-student_guide_files/figure-docx//1BLTCaogA04bbeSD1tR1Wt-mVceQA6FHXa8FmFzIARrg_g1204ed6db6a_0_8.png" id="10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bookmarkEnd w:id="101"/>
    <w:bookmarkStart w:id="109" w:name="pausing-rstudio"/>
    <w:p>
      <w:pPr>
        <w:pStyle w:val="Heading2"/>
      </w:pPr>
      <w:r>
        <w:rPr>
          <w:rStyle w:val="SectionNumber"/>
        </w:rPr>
        <w:t xml:space="preserve">1.4</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5"/>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resources/images/08-student_guide_files/figure-docx//1BLTCaogA04bbeSD1tR1Wt-mVceQA6FHXa8FmFzIARrg_g11f12bc99af_0_84.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resources/images/08-student_guide_files/figure-docx//1BLTCaogA04bbeSD1tR1Wt-mVceQA6FHXa8FmFzIARrg_g11f12bc99af_0_9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08">
        <w:r>
          <w:rPr>
            <w:rStyle w:val="Hyperlink"/>
          </w:rPr>
          <w:t xml:space="preserve">https://anvil.terra.bio/#clusters</w:t>
        </w:r>
      </w:hyperlink>
      <w:r>
        <w:t xml:space="preserve">.</w:t>
      </w:r>
    </w:p>
    <w:bookmarkEnd w:id="109"/>
    <w:bookmarkEnd w:id="110"/>
    <w:bookmarkStart w:id="153" w:name="using-galaxy-on-anvil"/>
    <w:p>
      <w:pPr>
        <w:pStyle w:val="Heading1"/>
      </w:pPr>
      <w:r>
        <w:rPr>
          <w:rStyle w:val="SectionNumber"/>
        </w:rPr>
        <w:t xml:space="preserve">2</w:t>
      </w:r>
      <w:r>
        <w:tab/>
      </w:r>
      <w:r>
        <w:t xml:space="preserve">Using Galaxy on AnVIL</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 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p>
    <w:p>
      <w:pPr>
        <w:pStyle w:val="BodyText"/>
      </w:pPr>
      <w:r>
        <w:t xml:space="preserve">Clone the workspace by clicking the teardrop button (</w:t>
      </w:r>
      <w:bookmarkStart w:id="111" w:name="id"/>
      <w:r>
        <w:t xml:space="preserve">teardrop button</w:t>
      </w:r>
      <w:bookmarkEnd w:id="111"/>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13" name="Picture"/>
            <a:graphic>
              <a:graphicData uri="http://schemas.openxmlformats.org/drawingml/2006/picture">
                <pic:pic>
                  <pic:nvPicPr>
                    <pic:cNvPr descr="resources/images/08-student_guide_files/figure-docx//182AOzMaiyrreinnsRX2VhH7YsVgvAp4xtIB_7Mzmk6I_ged15532ded_0_625.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16" name="Picture"/>
            <a:graphic>
              <a:graphicData uri="http://schemas.openxmlformats.org/drawingml/2006/picture">
                <pic:pic>
                  <pic:nvPicPr>
                    <pic:cNvPr descr="resources/images/08-student_guide_files/figure-docx//182AOzMaiyrreinnsRX2VhH7YsVgvAp4xtIB_7Mzmk6I_ged15532ded_0_648.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bookmarkStart w:id="121" w:name="video-overview-on-using-galaxy"/>
    <w:p>
      <w:pPr>
        <w:pStyle w:val="Heading2"/>
      </w:pPr>
      <w:r>
        <w:rPr>
          <w:rStyle w:val="SectionNumber"/>
        </w:rPr>
        <w:t xml:space="preserve">2.1</w:t>
      </w:r>
      <w:r>
        <w:tab/>
      </w:r>
      <w:r>
        <w:t xml:space="preserve">Video overview on using Galaxy</w:t>
      </w:r>
    </w:p>
    <w:p>
      <w:pPr>
        <w:pStyle w:val="FirstParagraph"/>
      </w:pPr>
      <w:r>
        <w:t xml:space="preserve">Here is a video tutorial that describes the basics of using Galaxy on AnVIL.</w:t>
      </w:r>
    </w:p>
    <w:bookmarkStart w:id="118" w:name="objectives-1"/>
    <w:p>
      <w:pPr>
        <w:pStyle w:val="Heading3"/>
      </w:pPr>
      <w:r>
        <w:rPr>
          <w:rStyle w:val="SectionNumber"/>
        </w:rPr>
        <w:t xml:space="preserve">2.1.1</w:t>
      </w:r>
      <w:r>
        <w:tab/>
      </w:r>
      <w:r>
        <w:t xml:space="preserve">Objectives</w:t>
      </w:r>
    </w:p>
    <w:p>
      <w:pPr>
        <w:numPr>
          <w:ilvl w:val="0"/>
          <w:numId w:val="1006"/>
        </w:numPr>
        <w:pStyle w:val="Compact"/>
      </w:pPr>
      <w:r>
        <w:t xml:space="preserve">Start compute for your Galaxy on AnVIL</w:t>
      </w:r>
    </w:p>
    <w:p>
      <w:pPr>
        <w:numPr>
          <w:ilvl w:val="0"/>
          <w:numId w:val="1006"/>
        </w:numPr>
        <w:pStyle w:val="Compact"/>
      </w:pPr>
      <w:r>
        <w:t xml:space="preserve">Run tool to quality control sequencing reads</w:t>
      </w:r>
    </w:p>
    <w:p>
      <w:pPr>
        <w:numPr>
          <w:ilvl w:val="0"/>
          <w:numId w:val="1006"/>
        </w:numPr>
        <w:pStyle w:val="Compact"/>
      </w:pPr>
      <w:r>
        <w:t xml:space="preserve">Stop compute to minimize expenses</w:t>
      </w:r>
    </w:p>
    <w:bookmarkEnd w:id="118"/>
    <w:bookmarkStart w:id="120" w:name="slides-1"/>
    <w:p>
      <w:pPr>
        <w:pStyle w:val="Heading3"/>
      </w:pPr>
      <w:r>
        <w:rPr>
          <w:rStyle w:val="SectionNumber"/>
        </w:rPr>
        <w:t xml:space="preserve">2.1.2</w:t>
      </w:r>
      <w:r>
        <w:tab/>
      </w:r>
      <w:r>
        <w:t xml:space="preserve">Slides</w:t>
      </w:r>
    </w:p>
    <w:p>
      <w:pPr>
        <w:pStyle w:val="FirstParagraph"/>
      </w:pPr>
      <w:r>
        <w:t xml:space="preserve">The slides for this tutorial are are located</w:t>
      </w:r>
      <w:r>
        <w:t xml:space="preserve"> </w:t>
      </w:r>
      <w:hyperlink r:id="rId119">
        <w:r>
          <w:rPr>
            <w:rStyle w:val="Hyperlink"/>
          </w:rPr>
          <w:t xml:space="preserve">here</w:t>
        </w:r>
      </w:hyperlink>
      <w:r>
        <w:t xml:space="preserve">.</w:t>
      </w:r>
    </w:p>
    <w:bookmarkEnd w:id="120"/>
    <w:bookmarkEnd w:id="121"/>
    <w:bookmarkStart w:id="138" w:name="starting-galaxy"/>
    <w:p>
      <w:pPr>
        <w:pStyle w:val="Heading2"/>
      </w:pPr>
      <w:r>
        <w:rPr>
          <w:rStyle w:val="SectionNumber"/>
        </w:rPr>
        <w:t xml:space="preserve">2.2</w:t>
      </w:r>
      <w:r>
        <w:tab/>
      </w:r>
      <w:r>
        <w:t xml:space="preserve">Starting Galaxy</w:t>
      </w:r>
    </w:p>
    <w:p>
      <w:pPr>
        <w:pStyle w:val="FirstParagraph"/>
      </w:pPr>
      <w:r>
        <w:t xml:space="preserve">Galaxy is a free, relatively easy to use bioinformatics implementation package. It changes command line programs into GUI based programs and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Currently, you will need to use Chrome or Safari as your browser for Galaxy cloud environments to work.</w:t>
      </w:r>
    </w:p>
    <w:p>
      <w:pPr>
        <w:pStyle w:val="BodyText"/>
      </w:pPr>
      <w:r>
        <w:t xml:space="preserve">In your new Workspace, click on the</w:t>
      </w:r>
      <w:r>
        <w:t xml:space="preserve"> </w:t>
      </w:r>
      <w:r>
        <w:t xml:space="preserve">“</w:t>
      </w:r>
      <w:r>
        <w:t xml:space="preserve">ANALYSES</w:t>
      </w:r>
      <w:r>
        <w:t xml:space="preserve">”</w:t>
      </w:r>
      <w:r>
        <w:t xml:space="preserve"> </w:t>
      </w:r>
      <w:r>
        <w:t xml:space="preserve">tab. Next, click on</w:t>
      </w:r>
      <w:r>
        <w:t xml:space="preserve"> </w:t>
      </w:r>
      <w:r>
        <w:t xml:space="preserve">“</w:t>
      </w:r>
      <w:r>
        <w:t xml:space="preserve">START</w:t>
      </w:r>
      <w:r>
        <w:t xml:space="preserve">”</w:t>
      </w:r>
      <w:r>
        <w:t xml:space="preserve">. You should see a popup window on the right side of the screen. Click on the Galaxy logo to proceed.</w:t>
      </w:r>
    </w:p>
    <w:p>
      <w:pPr>
        <w:pStyle w:val="BodyText"/>
      </w:pPr>
      <w:r>
        <w:drawing>
          <wp:inline>
            <wp:extent cx="5334000" cy="3000375"/>
            <wp:effectExtent b="0" l="0" r="0" t="0"/>
            <wp:docPr descr="" title="" id="123" name="Picture"/>
            <a:graphic>
              <a:graphicData uri="http://schemas.openxmlformats.org/drawingml/2006/picture">
                <pic:pic>
                  <pic:nvPicPr>
                    <pic:cNvPr descr="resources/images/08-student_guide_files/figure-docx//182AOzMaiyrreinnsRX2VhH7YsVgvAp4xtIB_7Mzmk6I_ged15532ded_0_788.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w:t>
      </w:r>
    </w:p>
    <w:p>
      <w:pPr>
        <w:pStyle w:val="BodyText"/>
      </w:pPr>
      <w:r>
        <w:drawing>
          <wp:inline>
            <wp:extent cx="5334000" cy="3000375"/>
            <wp:effectExtent b="0" l="0" r="0" t="0"/>
            <wp:docPr descr="" title="" id="126" name="Picture"/>
            <a:graphic>
              <a:graphicData uri="http://schemas.openxmlformats.org/drawingml/2006/picture">
                <pic:pic>
                  <pic:nvPicPr>
                    <pic:cNvPr descr="resources/images/08-student_guide_files/figure-docx//182AOzMaiyrreinnsRX2VhH7YsVgvAp4xtIB_7Mzmk6I_ged15532ded_0_798.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Galaxy icon.</w:t>
      </w:r>
    </w:p>
    <w:p>
      <w:pPr>
        <w:pStyle w:val="BodyText"/>
      </w:pPr>
      <w:r>
        <w:drawing>
          <wp:inline>
            <wp:extent cx="5334000" cy="3000375"/>
            <wp:effectExtent b="0" l="0" r="0" t="0"/>
            <wp:docPr descr="" title="" id="129" name="Picture"/>
            <a:graphic>
              <a:graphicData uri="http://schemas.openxmlformats.org/drawingml/2006/picture">
                <pic:pic>
                  <pic:nvPicPr>
                    <pic:cNvPr descr="resources/images/08-student_guide_files/figure-docx//182AOzMaiyrreinnsRX2VhH7YsVgvAp4xtIB_7Mzmk6I_g2283b458fae_100_31.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see that the environment is still being set up.</w:t>
      </w:r>
    </w:p>
    <w:p>
      <w:pPr>
        <w:pStyle w:val="BodyText"/>
      </w:pPr>
      <w:r>
        <w:drawing>
          <wp:inline>
            <wp:extent cx="5334000" cy="3000375"/>
            <wp:effectExtent b="0" l="0" r="0" t="0"/>
            <wp:docPr descr="" title="" id="132" name="Picture"/>
            <a:graphic>
              <a:graphicData uri="http://schemas.openxmlformats.org/drawingml/2006/picture">
                <pic:pic>
                  <pic:nvPicPr>
                    <pic:cNvPr descr="resources/images/08-student_guide_files/figure-docx//182AOzMaiyrreinnsRX2VhH7YsVgvAp4xtIB_7Mzmk6I_g2283b458fae_100_38.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will take 8-10 minutes. When it is done, click</w:t>
      </w:r>
      <w:r>
        <w:t xml:space="preserve"> </w:t>
      </w:r>
      <w:r>
        <w:t xml:space="preserve">“</w:t>
      </w:r>
      <w:r>
        <w:t xml:space="preserve">Open</w:t>
      </w:r>
      <w:r>
        <w:t xml:space="preserve">”</w:t>
      </w:r>
      <w:r>
        <w:t xml:space="preserve">. You might need to refresh the page.</w:t>
      </w:r>
    </w:p>
    <w:p>
      <w:pPr>
        <w:pStyle w:val="BodyText"/>
      </w:pPr>
      <w:r>
        <w:drawing>
          <wp:inline>
            <wp:extent cx="5334000" cy="3000375"/>
            <wp:effectExtent b="0" l="0" r="0" t="0"/>
            <wp:docPr descr="" title="" id="135" name="Picture"/>
            <a:graphic>
              <a:graphicData uri="http://schemas.openxmlformats.org/drawingml/2006/picture">
                <pic:pic>
                  <pic:nvPicPr>
                    <pic:cNvPr descr="resources/images/08-student_guide_files/figure-docx//182AOzMaiyrreinnsRX2VhH7YsVgvAp4xtIB_7Mzmk6I_g2283b458fae_100_46.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Remember that you can refresh your browser or navigate away at any time. This is because the connection to the environment is in the cloud, not on your personal computer.</w:t>
      </w:r>
    </w:p>
    <w:p>
      <w:pPr>
        <w:pStyle w:val="BodyText"/>
      </w:pPr>
      <w:r>
        <w:t xml:space="preserve">You can also follow along with the first ~2 minutes of</w:t>
      </w:r>
      <w:r>
        <w:t xml:space="preserve"> </w:t>
      </w:r>
      <w:hyperlink r:id="rId137">
        <w:r>
          <w:rPr>
            <w:rStyle w:val="Hyperlink"/>
          </w:rPr>
          <w:t xml:space="preserve">this video</w:t>
        </w:r>
      </w:hyperlink>
      <w:r>
        <w:t xml:space="preserve"> </w:t>
      </w:r>
      <w:r>
        <w:t xml:space="preserve">to start Galaxy on AnVIL.</w:t>
      </w:r>
    </w:p>
    <w:bookmarkEnd w:id="138"/>
    <w:bookmarkStart w:id="142" w:name="navigating-galaxy"/>
    <w:p>
      <w:pPr>
        <w:pStyle w:val="Heading2"/>
      </w:pPr>
      <w:r>
        <w:rPr>
          <w:rStyle w:val="SectionNumber"/>
        </w:rPr>
        <w:t xml:space="preserve">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40" name="Picture"/>
            <a:graphic>
              <a:graphicData uri="http://schemas.openxmlformats.org/drawingml/2006/picture">
                <pic:pic>
                  <pic:nvPicPr>
                    <pic:cNvPr descr="resources/images/08-student_guide_files/figure-docx//182AOzMaiyrreinnsRX2VhH7YsVgvAp4xtIB_7Mzmk6I_ged15532ded_0_816.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142"/>
    <w:bookmarkStart w:id="152" w:name="deleting-galaxy"/>
    <w:p>
      <w:pPr>
        <w:pStyle w:val="Heading2"/>
      </w:pPr>
      <w:r>
        <w:rPr>
          <w:rStyle w:val="SectionNumber"/>
        </w:rPr>
        <w:t xml:space="preserve">2.4</w:t>
      </w:r>
      <w:r>
        <w:tab/>
      </w:r>
      <w:r>
        <w:t xml:space="preserve">Deleting Galaxy</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Once you are done with your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44" name="Picture"/>
            <a:graphic>
              <a:graphicData uri="http://schemas.openxmlformats.org/drawingml/2006/picture">
                <pic:pic>
                  <pic:nvPicPr>
                    <pic:cNvPr descr="resources/images/08-student_guide_files/figure-docx//182AOzMaiyrreinnsRX2VhH7YsVgvAp4xtIB_7Mzmk6I_gf243efded1_0_134.pn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47" name="Picture"/>
            <a:graphic>
              <a:graphicData uri="http://schemas.openxmlformats.org/drawingml/2006/picture">
                <pic:pic>
                  <pic:nvPicPr>
                    <pic:cNvPr descr="resources/images/08-student_guide_files/figure-docx//182AOzMaiyrreinnsRX2VhH7YsVgvAp4xtIB_7Mzmk6I_gf243efded1_0_140.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50" name="Picture"/>
            <a:graphic>
              <a:graphicData uri="http://schemas.openxmlformats.org/drawingml/2006/picture">
                <pic:pic>
                  <pic:nvPicPr>
                    <pic:cNvPr descr="resources/images/08-student_guide_files/figure-docx//182AOzMaiyrreinnsRX2VhH7YsVgvAp4xtIB_7Mzmk6I_gf243efded1_0_146.png" id="151"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bookmarkEnd w:id="152"/>
    <w:bookmarkEnd w:id="153"/>
    <w:bookmarkStart w:id="154" w:name="references"/>
    <w:p>
      <w:pPr>
        <w:pStyle w:val="Heading1"/>
      </w:pPr>
      <w:r>
        <w:rPr>
          <w:rStyle w:val="SectionNumber"/>
        </w:rPr>
        <w:t xml:space="preserve">3</w:t>
      </w:r>
      <w:r>
        <w:tab/>
      </w:r>
      <w:r>
        <w:t xml:space="preserve">References</w:t>
      </w:r>
    </w:p>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42" Target="media/rId42.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08"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19" Target="https://docs.google.com/presentation/d/1yYCg4cPVBMMDghT17B4XzROieqyMH99Ex9nMm_Scm9Q"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37"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08"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19" Target="https://docs.google.com/presentation/d/1yYCg4cPVBMMDghT17B4XzROieqyMH99Ex9nMm_Scm9Q"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37"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in the Classroom: Antimicrobial Resistance</dc:title>
  <dc:creator/>
  <dc:description>This is a companion training guide for BioDIGS, a GDSCN project.</dc:description>
  <cp:keywords/>
  <dcterms:created xsi:type="dcterms:W3CDTF">2024-08-23T20:12:06Z</dcterms:created>
  <dcterms:modified xsi:type="dcterms:W3CDTF">2024-08-23T20:12:06Z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23, 2024</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