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99.png" ContentType="image/png"/>
  <Override PartName="/word/media/rId105.png" ContentType="image/png"/>
  <Override PartName="/word/media/rId108.png" ContentType="image/png"/>
  <Override PartName="/word/media/rId102.png" ContentType="image/png"/>
  <Override PartName="/word/media/rId137.png" ContentType="image/png"/>
  <Override PartName="/word/media/rId140.png" ContentType="image/png"/>
  <Override PartName="/word/media/rId143.png" ContentType="image/png"/>
  <Override PartName="/word/media/rId121.png" ContentType="image/png"/>
  <Override PartName="/word/media/rId124.png" ContentType="image/png"/>
  <Override PartName="/word/media/rId131.png" ContentType="image/png"/>
  <Override PartName="/word/media/rId134.png" ContentType="image/png"/>
  <Override PartName="/word/media/rId148.png" ContentType="image/png"/>
  <Override PartName="/word/media/rId71.png" ContentType="image/png"/>
  <Override PartName="/word/media/rId74.png" ContentType="image/png"/>
  <Override PartName="/word/media/rId77.png" ContentType="image/png"/>
  <Override PartName="/word/media/rId80.png" ContentType="image/png"/>
  <Override PartName="/word/media/rId111.png" ContentType="image/png"/>
  <Override PartName="/word/media/rId114.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158.png" ContentType="image/png"/>
  <Override PartName="/word/media/rId42.png" ContentType="image/png"/>
  <Override PartName="/word/media/rId66.png" ContentType="image/png"/>
  <Override PartName="/word/media/rId48.png" ContentType="image/png"/>
  <Override PartName="/word/media/rId45.png" ContentType="image/png"/>
  <Override PartName="/word/media/rId57.png" ContentType="image/png"/>
  <Override PartName="/word/media/rId60.png" ContentType="image/png"/>
  <Override PartName="/word/media/rId63.png" ContentType="image/png"/>
  <Override PartName="/word/media/rId51.png" ContentType="image/png"/>
  <Override PartName="/word/media/rId54.png" ContentType="image/png"/>
  <Override PartName="/word/media/rId152.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BioDIGS:</w:t>
      </w:r>
      <w:r>
        <w:t xml:space="preserve"> </w:t>
      </w:r>
      <w:r>
        <w:t xml:space="preserve">Antimicrobial</w:t>
      </w:r>
      <w:r>
        <w:t xml:space="preserve"> </w:t>
      </w:r>
      <w:r>
        <w:t xml:space="preserve">Resistance</w:t>
      </w:r>
    </w:p>
    <w:p>
      <w:pPr>
        <w:pStyle w:val="Date"/>
      </w:pPr>
      <w:r>
        <w:t xml:space="preserve">October</w:t>
      </w:r>
      <w:r>
        <w:t xml:space="preserve"> </w:t>
      </w:r>
      <w:r>
        <w:t xml:space="preserve">16,</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this-book"/>
    <w:p>
      <w:pPr>
        <w:pStyle w:val="Heading1"/>
      </w:pPr>
      <w:r>
        <w:t xml:space="preserve">About this Book</w:t>
      </w:r>
    </w:p>
    <w:p>
      <w:pPr>
        <w:pStyle w:val="FirstParagraph"/>
      </w:pPr>
      <w:r>
        <w:t xml:space="preserve">This is a companion training guide for BioDIGS, a GDSCN project that brings a research experience into the classroom. In this module, students will investigate whether metagenomic samples from the BioDIGS project contain either antimicrobial resistance genes or biosynthesis genes. They will run analyses using ABRicate as implemented on Galaxy. Visit the BioDIGS (BioDiversity and Informatics for Genomics Scholars) website</w:t>
      </w:r>
      <w:r>
        <w:t xml:space="preserve"> </w:t>
      </w:r>
      <w:hyperlink r:id="rId20">
        <w:r>
          <w:rPr>
            <w:rStyle w:val="Hyperlink"/>
          </w:rPr>
          <w:t xml:space="preserve">here</w:t>
        </w:r>
      </w:hyperlink>
      <w:r>
        <w:t xml:space="preserve"> </w:t>
      </w:r>
      <w:r>
        <w:t xml:space="preserve">for more information about this collaborative, distributed research project, including how you can get involved!</w:t>
      </w:r>
    </w:p>
    <w:p>
      <w:pPr>
        <w:pStyle w:val="BodyText"/>
      </w:pPr>
      <w:r>
        <w:t xml:space="preserve">The GDSCN (Genomics Data Science Community Network) is a consortium of educators who aim to create a world where researchers, educators, and students from diverse backgrounds are able to fully participate in genomic data science research. You can find more information about its mission and initiatives</w:t>
      </w:r>
      <w:r>
        <w:t xml:space="preserve"> </w:t>
      </w:r>
      <w:hyperlink r:id="rId21">
        <w:r>
          <w:rPr>
            <w:rStyle w:val="Hyperlink"/>
          </w:rPr>
          <w:t xml:space="preserve">here</w:t>
        </w:r>
      </w:hyperlink>
      <w:r>
        <w:t xml:space="preserve">.</w:t>
      </w:r>
    </w:p>
    <w:p>
      <w:pPr>
        <w:pStyle w:val="BodyText"/>
      </w:pPr>
      <w:r>
        <w:drawing>
          <wp:inline>
            <wp:extent cx="2857500" cy="964669"/>
            <wp:effectExtent b="0" l="0" r="0" t="0"/>
            <wp:docPr descr="" title="" id="23" name="Picture"/>
            <a:graphic>
              <a:graphicData uri="http://schemas.openxmlformats.org/drawingml/2006/picture">
                <pic:pic>
                  <pic:nvPicPr>
                    <pic:cNvPr descr="https://raw.githubusercontent.com/fhdsl/GDSCN_BioDIGS_Book/main/assets/GDSCN_style/logo_BioDIGS_final.png" id="24" name="Picture"/>
                    <pic:cNvPicPr>
                      <a:picLocks noChangeArrowheads="1" noChangeAspect="1"/>
                    </pic:cNvPicPr>
                  </pic:nvPicPr>
                  <pic:blipFill>
                    <a:blip r:embed="rId22"/>
                    <a:stretch>
                      <a:fillRect/>
                    </a:stretch>
                  </pic:blipFill>
                  <pic:spPr bwMode="auto">
                    <a:xfrm>
                      <a:off x="0" y="0"/>
                      <a:ext cx="2857500" cy="964669"/>
                    </a:xfrm>
                    <a:prstGeom prst="rect">
                      <a:avLst/>
                    </a:prstGeom>
                    <a:noFill/>
                    <a:ln w="9525">
                      <a:noFill/>
                      <a:headEnd/>
                      <a:tailEnd/>
                    </a:ln>
                  </pic:spPr>
                </pic:pic>
              </a:graphicData>
            </a:graphic>
          </wp:inline>
        </w:drawing>
      </w:r>
    </w:p>
    <w:bookmarkStart w:id="25" w:name="skills-level"/>
    <w:p>
      <w:pPr>
        <w:pStyle w:val="Heading2"/>
      </w:pPr>
      <w:r>
        <w:rPr>
          <w:rStyle w:val="SectionNumber"/>
        </w:rPr>
        <w:t xml:space="preserve">0.1</w:t>
      </w:r>
      <w:r>
        <w:tab/>
      </w:r>
      <w:r>
        <w:t xml:space="preserve">Skills Level</w:t>
      </w:r>
    </w:p>
    <w:p>
      <w:pPr>
        <w:pStyle w:val="FirstParagraph"/>
      </w:pPr>
      <w:r>
        <w:t xml:space="preserve">The activities in this guide are written for undergraduate students and beginning graduate students.</w:t>
      </w:r>
    </w:p>
    <w:p>
      <w:pPr>
        <w:pStyle w:val="BodyText"/>
      </w:pPr>
      <w:r>
        <w:rPr>
          <w:iCs/>
          <w:i/>
        </w:rPr>
        <w:t xml:space="preserve">Genetics</w:t>
      </w:r>
      <w:r>
        <w:t xml:space="preserve"> </w:t>
      </w:r>
    </w:p>
    <w:p>
      <w:pPr>
        <w:pStyle w:val="BodyText"/>
      </w:pPr>
      <w:r>
        <w:rPr>
          <w:iCs/>
          <w:i/>
        </w:rPr>
        <w:t xml:space="preserve">Programming skills</w:t>
      </w:r>
      <w:r>
        <w:t xml:space="preserve"> </w:t>
      </w:r>
    </w:p>
    <w:bookmarkEnd w:id="25"/>
    <w:bookmarkStart w:id="29" w:name="platform"/>
    <w:p>
      <w:pPr>
        <w:pStyle w:val="Heading2"/>
      </w:pPr>
      <w:r>
        <w:rPr>
          <w:rStyle w:val="SectionNumber"/>
        </w:rPr>
        <w:t xml:space="preserve">0.2</w:t>
      </w:r>
      <w:r>
        <w:tab/>
      </w:r>
      <w:r>
        <w:t xml:space="preserve">Platform</w:t>
      </w:r>
    </w:p>
    <w:p>
      <w:pPr>
        <w:pStyle w:val="FirstParagraph"/>
      </w:pPr>
      <w:r>
        <w:t xml:space="preserve">The activities in this guide are demonstrated on NHGRI’s</w:t>
      </w:r>
      <w:r>
        <w:t xml:space="preserve"> </w:t>
      </w:r>
      <w:hyperlink r:id="rId26">
        <w:r>
          <w:rPr>
            <w:rStyle w:val="Hyperlink"/>
          </w:rPr>
          <w:t xml:space="preserve">AnVIL</w:t>
        </w:r>
      </w:hyperlink>
      <w:r>
        <w:t xml:space="preserve"> </w:t>
      </w:r>
      <w:r>
        <w:t xml:space="preserve">cloud computing platform. AnVIL is the preferred computing platform for the GDSCN. However, all of these activities can be done using your personal installation of R or using the online</w:t>
      </w:r>
      <w:r>
        <w:t xml:space="preserve"> </w:t>
      </w:r>
      <w:hyperlink r:id="rId27">
        <w:r>
          <w:rPr>
            <w:rStyle w:val="Hyperlink"/>
          </w:rPr>
          <w:t xml:space="preserve">Galaxy</w:t>
        </w:r>
      </w:hyperlink>
      <w:r>
        <w:t xml:space="preserve"> </w:t>
      </w:r>
      <w:r>
        <w:t xml:space="preserve">portal.</w:t>
      </w:r>
    </w:p>
    <w:p>
      <w:pPr>
        <w:pStyle w:val="BodyText"/>
      </w:pPr>
      <w:r>
        <w:t xml:space="preserve">Please check out our full collection of AnVIL and related resources:</w:t>
      </w:r>
      <w:r>
        <w:t xml:space="preserve"> </w:t>
      </w:r>
      <w:hyperlink r:id="rId28">
        <w:r>
          <w:rPr>
            <w:rStyle w:val="Hyperlink"/>
          </w:rPr>
          <w:t xml:space="preserve">https://hutchdatascience.org/AnVIL_Collection/</w:t>
        </w:r>
      </w:hyperlink>
    </w:p>
    <w:bookmarkEnd w:id="29"/>
    <w:bookmarkStart w:id="35" w:name="data"/>
    <w:p>
      <w:pPr>
        <w:pStyle w:val="Heading2"/>
      </w:pPr>
      <w:r>
        <w:rPr>
          <w:rStyle w:val="SectionNumber"/>
        </w:rPr>
        <w:t xml:space="preserve">0.3</w:t>
      </w:r>
      <w:r>
        <w:tab/>
      </w:r>
      <w:r>
        <w:t xml:space="preserve">Data</w:t>
      </w:r>
    </w:p>
    <w:p>
      <w:pPr>
        <w:pStyle w:val="FirstParagraph"/>
      </w:pPr>
      <w:r>
        <w:t xml:space="preserve">The data generated by the BioDIGS project is available through the</w:t>
      </w:r>
      <w:r>
        <w:t xml:space="preserve"> </w:t>
      </w:r>
      <w:hyperlink r:id="rId30">
        <w:r>
          <w:rPr>
            <w:rStyle w:val="Hyperlink"/>
          </w:rPr>
          <w:t xml:space="preserve">BioDIGS website</w:t>
        </w:r>
      </w:hyperlink>
      <w:r>
        <w:t xml:space="preserve">, as well as through an</w:t>
      </w:r>
      <w:r>
        <w:t xml:space="preserve"> </w:t>
      </w:r>
      <w:hyperlink r:id="rId31">
        <w:r>
          <w:rPr>
            <w:rStyle w:val="Hyperlink"/>
          </w:rPr>
          <w:t xml:space="preserve">AnVIL workspace</w:t>
        </w:r>
      </w:hyperlink>
      <w:r>
        <w:t xml:space="preserve">.</w:t>
      </w:r>
    </w:p>
    <w:p>
      <w:pPr>
        <w:pStyle w:val="BodyText"/>
      </w:pPr>
      <w:r>
        <w:t xml:space="preserve">Data about the soil itself as well as soil metal content was generated by the</w:t>
      </w:r>
      <w:r>
        <w:t xml:space="preserve"> </w:t>
      </w:r>
      <w:hyperlink r:id="rId32">
        <w:r>
          <w:rPr>
            <w:rStyle w:val="Hyperlink"/>
          </w:rPr>
          <w:t xml:space="preserve">Delaware Soil Testing Program</w:t>
        </w:r>
      </w:hyperlink>
      <w:r>
        <w:t xml:space="preserve"> </w:t>
      </w:r>
      <w:r>
        <w:t xml:space="preserve">at the University of Delaware. Sequences were generated by the</w:t>
      </w:r>
      <w:r>
        <w:t xml:space="preserve"> </w:t>
      </w:r>
      <w:hyperlink r:id="rId33">
        <w:r>
          <w:rPr>
            <w:rStyle w:val="Hyperlink"/>
          </w:rPr>
          <w:t xml:space="preserve">Johns Hopkins University Genetic Resources Core Facility</w:t>
        </w:r>
      </w:hyperlink>
      <w:r>
        <w:t xml:space="preserve"> </w:t>
      </w:r>
      <w:r>
        <w:t xml:space="preserve">and by</w:t>
      </w:r>
      <w:r>
        <w:t xml:space="preserve"> </w:t>
      </w:r>
      <w:hyperlink r:id="rId34">
        <w:r>
          <w:rPr>
            <w:rStyle w:val="Hyperlink"/>
          </w:rPr>
          <w:t xml:space="preserve">PacBio</w:t>
        </w:r>
      </w:hyperlink>
      <w:r>
        <w:t xml:space="preserve">.</w:t>
      </w:r>
    </w:p>
    <w:bookmarkEnd w:id="35"/>
    <w:bookmarkEnd w:id="36"/>
    <w:bookmarkStart w:id="119" w:name="using-rstudio-on-anvil"/>
    <w:p>
      <w:pPr>
        <w:pStyle w:val="Heading1"/>
      </w:pPr>
      <w:r>
        <w:rPr>
          <w:rStyle w:val="SectionNumber"/>
        </w:rPr>
        <w:t xml:space="preserve">1</w:t>
      </w:r>
      <w:r>
        <w:tab/>
      </w:r>
      <w:r>
        <w:t xml:space="preserve">Using RStudio on AnVIL</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w:t>
      </w:r>
    </w:p>
    <w:bookmarkStart w:id="40" w:name="video-overview-of-rstudio-on-anvil"/>
    <w:p>
      <w:pPr>
        <w:pStyle w:val="Heading2"/>
      </w:pPr>
      <w:r>
        <w:rPr>
          <w:rStyle w:val="SectionNumber"/>
        </w:rPr>
        <w:t xml:space="preserve">1.1</w:t>
      </w:r>
      <w:r>
        <w:tab/>
      </w:r>
      <w:r>
        <w:t xml:space="preserve">Video overview of RStudio on AnVIL</w:t>
      </w:r>
    </w:p>
    <w:p>
      <w:pPr>
        <w:pStyle w:val="FirstParagraph"/>
      </w:pPr>
      <w:r>
        <w:t xml:space="preserve">Here is a video tutorial that describes the basics of using RStudio on AnVIL.</w:t>
      </w:r>
    </w:p>
    <w:bookmarkStart w:id="37" w:name="objectives"/>
    <w:p>
      <w:pPr>
        <w:pStyle w:val="Heading3"/>
      </w:pPr>
      <w:r>
        <w:rPr>
          <w:rStyle w:val="SectionNumber"/>
        </w:rPr>
        <w:t xml:space="preserve">1.1.1</w:t>
      </w:r>
      <w:r>
        <w:tab/>
      </w:r>
      <w:r>
        <w:t xml:space="preserve">Objectives</w:t>
      </w:r>
    </w:p>
    <w:p>
      <w:pPr>
        <w:numPr>
          <w:ilvl w:val="0"/>
          <w:numId w:val="1001"/>
        </w:numPr>
        <w:pStyle w:val="Compact"/>
      </w:pPr>
      <w:r>
        <w:t xml:space="preserve">Start compute for your RStudio environment</w:t>
      </w:r>
    </w:p>
    <w:p>
      <w:pPr>
        <w:numPr>
          <w:ilvl w:val="0"/>
          <w:numId w:val="1001"/>
        </w:numPr>
        <w:pStyle w:val="Compact"/>
      </w:pPr>
      <w:r>
        <w:t xml:space="preserve">Tour RStudio on AnVIL</w:t>
      </w:r>
    </w:p>
    <w:p>
      <w:pPr>
        <w:numPr>
          <w:ilvl w:val="0"/>
          <w:numId w:val="1001"/>
        </w:numPr>
        <w:pStyle w:val="Compact"/>
      </w:pPr>
      <w:r>
        <w:t xml:space="preserve">Stop compute to minimize expenses</w:t>
      </w:r>
    </w:p>
    <w:bookmarkEnd w:id="37"/>
    <w:bookmarkStart w:id="39" w:name="slides"/>
    <w:p>
      <w:pPr>
        <w:pStyle w:val="Heading3"/>
      </w:pPr>
      <w:r>
        <w:rPr>
          <w:rStyle w:val="SectionNumber"/>
        </w:rPr>
        <w:t xml:space="preserve">1.1.2</w:t>
      </w:r>
      <w:r>
        <w:tab/>
      </w:r>
      <w:r>
        <w:t xml:space="preserve">Slides</w:t>
      </w:r>
    </w:p>
    <w:p>
      <w:pPr>
        <w:pStyle w:val="FirstParagraph"/>
      </w:pPr>
      <w:r>
        <w:t xml:space="preserve">The slides for this tutorial are are located</w:t>
      </w:r>
      <w:r>
        <w:t xml:space="preserve"> </w:t>
      </w:r>
      <w:hyperlink r:id="rId38">
        <w:r>
          <w:rPr>
            <w:rStyle w:val="Hyperlink"/>
          </w:rPr>
          <w:t xml:space="preserve">here</w:t>
        </w:r>
      </w:hyperlink>
      <w:r>
        <w:t xml:space="preserve">.</w:t>
      </w:r>
    </w:p>
    <w:bookmarkEnd w:id="39"/>
    <w:bookmarkEnd w:id="40"/>
    <w:bookmarkStart w:id="69" w:name="launching-rstudio"/>
    <w:p>
      <w:pPr>
        <w:pStyle w:val="Heading2"/>
      </w:pPr>
      <w:r>
        <w:rPr>
          <w:rStyle w:val="SectionNumber"/>
        </w:rPr>
        <w:t xml:space="preserve">1.2</w:t>
      </w:r>
      <w:r>
        <w:tab/>
      </w:r>
      <w:r>
        <w:t xml:space="preserve">Launching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02"/>
        </w:numPr>
      </w:pPr>
      <w:r>
        <w:t xml:space="preserve">Open Terra - use a web browser to go to</w:t>
      </w:r>
      <w:r>
        <w:t xml:space="preserve"> </w:t>
      </w:r>
      <w:hyperlink r:id="rId41">
        <w:r>
          <w:rPr>
            <w:rStyle w:val="VerbatimChar"/>
          </w:rPr>
          <w:t xml:space="preserve">anvil.terra.bio</w:t>
        </w:r>
      </w:hyperlink>
    </w:p>
    <w:p>
      <w:pPr>
        <w:numPr>
          <w:ilvl w:val="0"/>
          <w:numId w:val="100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334000" cy="3000375"/>
            <wp:effectExtent b="0" l="0" r="0" t="0"/>
            <wp:docPr descr="" title="" id="43" name="Picture"/>
            <a:graphic>
              <a:graphicData uri="http://schemas.openxmlformats.org/drawingml/2006/picture">
                <pic:pic>
                  <pic:nvPicPr>
                    <pic:cNvPr descr="resources/images/08-student_guide_files/figure-docx//1a35Mb8f0M-bQkBcHa1cyQc6YxXoBLtExCz96nv08vkA_g117989bd49c_0_150.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02"/>
        </w:numPr>
      </w:pPr>
      <w:r>
        <w:t xml:space="preserve">Click on the cloud icon on the far right to access your Cloud Environment options. If you don’t see this icon, you may need to scroll to the right.</w:t>
      </w:r>
    </w:p>
    <w:p>
      <w:pPr>
        <w:numPr>
          <w:ilvl w:val="0"/>
          <w:numId w:val="1000"/>
        </w:numPr>
      </w:pPr>
      <w:r>
        <w:drawing>
          <wp:inline>
            <wp:extent cx="5334000" cy="3000375"/>
            <wp:effectExtent b="0" l="0" r="0" t="0"/>
            <wp:docPr descr="" title="" id="46" name="Picture"/>
            <a:graphic>
              <a:graphicData uri="http://schemas.openxmlformats.org/drawingml/2006/picture">
                <pic:pic>
                  <pic:nvPicPr>
                    <pic:cNvPr descr="resources/images/08-student_guide_files/figure-docx//1a35Mb8f0M-bQkBcHa1cyQc6YxXoBLtExCz96nv08vkA_g14ea2db115d_0_22.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334000" cy="3000375"/>
            <wp:effectExtent b="0" l="0" r="0" t="0"/>
            <wp:docPr descr="" title="" id="49" name="Picture"/>
            <a:graphic>
              <a:graphicData uri="http://schemas.openxmlformats.org/drawingml/2006/picture">
                <pic:pic>
                  <pic:nvPicPr>
                    <pic:cNvPr descr="resources/images/08-student_guide_files/figure-docx//1a35Mb8f0M-bQkBcHa1cyQc6YxXoBLtExCz96nv08vkA_g14ea2db115d_0_18.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You will see some configuration options for the RStudio cloud environment, and a list of costs because it costs a small amount of money to use cloud computing.</w:t>
      </w:r>
    </w:p>
    <w:p>
      <w:pPr>
        <w:numPr>
          <w:ilvl w:val="0"/>
          <w:numId w:val="1000"/>
        </w:numPr>
      </w:pPr>
      <w:r>
        <w:drawing>
          <wp:inline>
            <wp:extent cx="5334000" cy="3000375"/>
            <wp:effectExtent b="0" l="0" r="0" t="0"/>
            <wp:docPr descr="" title="" id="52" name="Picture"/>
            <a:graphic>
              <a:graphicData uri="http://schemas.openxmlformats.org/drawingml/2006/picture">
                <pic:pic>
                  <pic:nvPicPr>
                    <pic:cNvPr descr="resources/images/08-student_guide_files/figure-docx//1a35Mb8f0M-bQkBcHa1cyQc6YxXoBLtExCz96nv08vkA_g256428d32e5_0_10.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Configure any settings you need for your cloud environment. If you are uncertain about what you need, the default configuration is a reasonable, cost-conservative choice. It is fairly easy to increase your compute resources later, if needed, but harder to scale down. Scroll down and click the</w:t>
      </w:r>
      <w:r>
        <w:t xml:space="preserve"> </w:t>
      </w:r>
      <w:r>
        <w:t xml:space="preserve">“</w:t>
      </w:r>
      <w:r>
        <w:t xml:space="preserve">CREATE</w:t>
      </w:r>
      <w:r>
        <w:t xml:space="preserve">”</w:t>
      </w:r>
      <w:r>
        <w:t xml:space="preserve"> </w:t>
      </w:r>
      <w:r>
        <w:t xml:space="preserve">button when you are satisfied with your setup.</w:t>
      </w:r>
    </w:p>
    <w:p>
      <w:pPr>
        <w:numPr>
          <w:ilvl w:val="0"/>
          <w:numId w:val="1000"/>
        </w:numPr>
      </w:pPr>
      <w:r>
        <w:drawing>
          <wp:inline>
            <wp:extent cx="5334000" cy="3000375"/>
            <wp:effectExtent b="0" l="0" r="0" t="0"/>
            <wp:docPr descr="" title="" id="55" name="Picture"/>
            <a:graphic>
              <a:graphicData uri="http://schemas.openxmlformats.org/drawingml/2006/picture">
                <pic:pic>
                  <pic:nvPicPr>
                    <pic:cNvPr descr="resources/images/08-student_guide_files/figure-docx//1a35Mb8f0M-bQkBcHa1cyQc6YxXoBLtExCz96nv08vkA_g256428d32e5_0_16.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The dialogue box will close and you will be returned to your Workspace. You can see the status of your cloud environment by hovering over the RStudio icon. It will take a few minutes for Terra to request computers and install software.</w:t>
      </w:r>
    </w:p>
    <w:p>
      <w:pPr>
        <w:numPr>
          <w:ilvl w:val="0"/>
          <w:numId w:val="1000"/>
        </w:numPr>
      </w:pPr>
      <w:r>
        <w:drawing>
          <wp:inline>
            <wp:extent cx="5334000" cy="3000375"/>
            <wp:effectExtent b="0" l="0" r="0" t="0"/>
            <wp:docPr descr="" title="" id="58" name="Picture"/>
            <a:graphic>
              <a:graphicData uri="http://schemas.openxmlformats.org/drawingml/2006/picture">
                <pic:pic>
                  <pic:nvPicPr>
                    <pic:cNvPr descr="resources/images/08-student_guide_files/figure-docx//1a35Mb8f0M-bQkBcHa1cyQc6YxXoBLtExCz96nv08vkA_g14ea2db115d_0_91.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334000" cy="3000375"/>
            <wp:effectExtent b="0" l="0" r="0" t="0"/>
            <wp:docPr descr="" title="" id="61" name="Picture"/>
            <a:graphic>
              <a:graphicData uri="http://schemas.openxmlformats.org/drawingml/2006/picture">
                <pic:pic>
                  <pic:nvPicPr>
                    <pic:cNvPr descr="resources/images/08-student_guide_files/figure-docx//1a35Mb8f0M-bQkBcHa1cyQc6YxXoBLtExCz96nv08vkA_g14ea2db115d_0_95.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Click the launch icon to open RStudio. This is also where you can pause, modify, or delete your environment when needed.</w:t>
      </w:r>
    </w:p>
    <w:p>
      <w:pPr>
        <w:numPr>
          <w:ilvl w:val="0"/>
          <w:numId w:val="1000"/>
        </w:numPr>
      </w:pPr>
      <w:r>
        <w:drawing>
          <wp:inline>
            <wp:extent cx="5334000" cy="3000375"/>
            <wp:effectExtent b="0" l="0" r="0" t="0"/>
            <wp:docPr descr="" title="" id="64" name="Picture"/>
            <a:graphic>
              <a:graphicData uri="http://schemas.openxmlformats.org/drawingml/2006/picture">
                <pic:pic>
                  <pic:nvPicPr>
                    <pic:cNvPr descr="resources/images/08-student_guide_files/figure-docx//1a35Mb8f0M-bQkBcHa1cyQc6YxXoBLtExCz96nv08vkA_g14ea2db115d_0_99.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2"/>
        </w:numPr>
      </w:pPr>
      <w:r>
        <w:t xml:space="preserve">You should now see the RStudio interface with information about the version printed to the console.</w:t>
      </w:r>
    </w:p>
    <w:p>
      <w:pPr>
        <w:numPr>
          <w:ilvl w:val="0"/>
          <w:numId w:val="1000"/>
        </w:numPr>
      </w:pPr>
      <w:r>
        <w:drawing>
          <wp:inline>
            <wp:extent cx="5334000" cy="3000375"/>
            <wp:effectExtent b="0" l="0" r="0" t="0"/>
            <wp:docPr descr="" title="" id="67" name="Picture"/>
            <a:graphic>
              <a:graphicData uri="http://schemas.openxmlformats.org/drawingml/2006/picture">
                <pic:pic>
                  <pic:nvPicPr>
                    <pic:cNvPr descr="resources/images/08-student_guide_files/figure-docx//1a35Mb8f0M-bQkBcHa1cyQc6YxXoBLtExCz96nv08vkA_g14ea2db115d_0_103.pn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9"/>
    <w:bookmarkStart w:id="98" w:name="touring-rstudio"/>
    <w:p>
      <w:pPr>
        <w:pStyle w:val="Heading2"/>
      </w:pPr>
      <w:r>
        <w:rPr>
          <w:rStyle w:val="SectionNumber"/>
        </w:rPr>
        <w:t xml:space="preserve">1.3</w:t>
      </w:r>
      <w:r>
        <w:tab/>
      </w:r>
      <w:r>
        <w:t xml:space="preserve">Touring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0">
        <w:r>
          <w:rPr>
            <w:rStyle w:val="Hyperlink"/>
          </w:rPr>
          <w:t xml:space="preserve">this vignette</w:t>
        </w:r>
      </w:hyperlink>
      <w:r>
        <w:t xml:space="preserve"> </w:t>
      </w:r>
      <w:r>
        <w:t xml:space="preserve">for more information.</w:t>
      </w:r>
    </w:p>
    <w:p>
      <w:pPr>
        <w:numPr>
          <w:ilvl w:val="0"/>
          <w:numId w:val="100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334000" cy="3000375"/>
            <wp:effectExtent b="0" l="0" r="0" t="0"/>
            <wp:docPr descr="" title="" id="72" name="Picture"/>
            <a:graphic>
              <a:graphicData uri="http://schemas.openxmlformats.org/drawingml/2006/picture">
                <pic:pic>
                  <pic:nvPicPr>
                    <pic:cNvPr descr="resources/images/08-student_guide_files/figure-docx//1BLTCaogA04bbeSD1tR1Wt-mVceQA6FHXa8FmFzIARrg_g11f12bc99af_0_49.png" id="73"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![](resources/images/08-student_guide_files/figure-docx//1BLTCaogA04bbeSD1tR1Wt-mVceQA6FHXa8FmFzIARrg_g11f12bc99af_0_56.png)</w:t>
      </w:r>
    </w:p>
    <w:p>
      <w:pPr>
        <w:numPr>
          <w:ilvl w:val="0"/>
          <w:numId w:val="1004"/>
        </w:numPr>
      </w:pPr>
      <w:r>
        <w:t xml:space="preserve">Load the example data.</w:t>
      </w:r>
    </w:p>
    <w:p>
      <w:pPr>
        <w:numPr>
          <w:ilvl w:val="0"/>
          <w:numId w:val="1000"/>
        </w:numPr>
      </w:pPr>
      <w:r>
        <w:drawing>
          <wp:inline>
            <wp:extent cx="5334000" cy="3000375"/>
            <wp:effectExtent b="0" l="0" r="0" t="0"/>
            <wp:docPr descr="" title="" id="75" name="Picture"/>
            <a:graphic>
              <a:graphicData uri="http://schemas.openxmlformats.org/drawingml/2006/picture">
                <pic:pic>
                  <pic:nvPicPr>
                    <pic:cNvPr descr="resources/images/08-student_guide_files/figure-docx//1BLTCaogA04bbeSD1tR1Wt-mVceQA6FHXa8FmFzIARrg_g11f12bc99af_0_56.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334000" cy="3000375"/>
            <wp:effectExtent b="0" l="0" r="0" t="0"/>
            <wp:docPr descr="" title="" id="78" name="Picture"/>
            <a:graphic>
              <a:graphicData uri="http://schemas.openxmlformats.org/drawingml/2006/picture">
                <pic:pic>
                  <pic:nvPicPr>
                    <pic:cNvPr descr="resources/images/08-student_guide_files/figure-docx//1BLTCaogA04bbeSD1tR1Wt-mVceQA6FHXa8FmFzIARrg_g11f12bc99af_0_70.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334000" cy="3000375"/>
            <wp:effectExtent b="0" l="0" r="0" t="0"/>
            <wp:docPr descr="" title="" id="81" name="Picture"/>
            <a:graphic>
              <a:graphicData uri="http://schemas.openxmlformats.org/drawingml/2006/picture">
                <pic:pic>
                  <pic:nvPicPr>
                    <pic:cNvPr descr="resources/images/08-student_guide_files/figure-docx//1BLTCaogA04bbeSD1tR1Wt-mVceQA6FHXa8FmFzIARrg_g11f12bc99af_0_77.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334000" cy="3000375"/>
            <wp:effectExtent b="0" l="0" r="0" t="0"/>
            <wp:docPr descr="" title="" id="84" name="Picture"/>
            <a:graphic>
              <a:graphicData uri="http://schemas.openxmlformats.org/drawingml/2006/picture">
                <pic:pic>
                  <pic:nvPicPr>
                    <pic:cNvPr descr="resources/images/08-student_guide_files/figure-docx//1BLTCaogA04bbeSD1tR1Wt-mVceQA6FHXa8FmFzIARrg_g1204ed6da7f_0_0.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334000" cy="3000375"/>
            <wp:effectExtent b="0" l="0" r="0" t="0"/>
            <wp:docPr descr="" title="" id="87" name="Picture"/>
            <a:graphic>
              <a:graphicData uri="http://schemas.openxmlformats.org/drawingml/2006/picture">
                <pic:pic>
                  <pic:nvPicPr>
                    <pic:cNvPr descr="resources/images/08-student_guide_files/figure-docx//1BLTCaogA04bbeSD1tR1Wt-mVceQA6FHXa8FmFzIARrg_g1204ed6da7f_0_12.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334000" cy="3000375"/>
            <wp:effectExtent b="0" l="0" r="0" t="0"/>
            <wp:docPr descr="" title="" id="90" name="Picture"/>
            <a:graphic>
              <a:graphicData uri="http://schemas.openxmlformats.org/drawingml/2006/picture">
                <pic:pic>
                  <pic:nvPicPr>
                    <pic:cNvPr descr="resources/images/08-student_guide_files/figure-docx//1BLTCaogA04bbeSD1tR1Wt-mVceQA6FHXa8FmFzIARrg_g1204ed6da7f_0_19.png" id="91"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334000" cy="3000375"/>
            <wp:effectExtent b="0" l="0" r="0" t="0"/>
            <wp:docPr descr="" title="" id="93" name="Picture"/>
            <a:graphic>
              <a:graphicData uri="http://schemas.openxmlformats.org/drawingml/2006/picture">
                <pic:pic>
                  <pic:nvPicPr>
                    <pic:cNvPr descr="resources/images/08-student_guide_files/figure-docx//1BLTCaogA04bbeSD1tR1Wt-mVceQA6FHXa8FmFzIARrg_g1204ed6db6a_0_0.png" id="94"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334000" cy="3000375"/>
            <wp:effectExtent b="0" l="0" r="0" t="0"/>
            <wp:docPr descr="" title="" id="96" name="Picture"/>
            <a:graphic>
              <a:graphicData uri="http://schemas.openxmlformats.org/drawingml/2006/picture">
                <pic:pic>
                  <pic:nvPicPr>
                    <pic:cNvPr descr="resources/images/08-student_guide_files/figure-docx//1BLTCaogA04bbeSD1tR1Wt-mVceQA6FHXa8FmFzIARrg_g1204ed6db6a_0_8.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Start w:id="118" w:name="pausing-rstudio"/>
    <w:p>
      <w:pPr>
        <w:pStyle w:val="Heading2"/>
      </w:pPr>
      <w:r>
        <w:rPr>
          <w:rStyle w:val="SectionNumber"/>
        </w:rPr>
        <w:t xml:space="preserve">1.4</w:t>
      </w:r>
      <w:r>
        <w:tab/>
      </w:r>
      <w:r>
        <w:t xml:space="preserve">Pausing RStudio</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numPr>
          <w:ilvl w:val="0"/>
          <w:numId w:val="1005"/>
        </w:numPr>
      </w:pPr>
      <w:r>
        <w:t xml:space="preserve">You can view costs and make changes to your cloud environments from the panel on the far right of the page. If you don’t see this panel, you may need to scroll to the right. Running environments will have a green dot, and paused environments will have an orange dot.</w:t>
      </w:r>
    </w:p>
    <w:p>
      <w:pPr>
        <w:numPr>
          <w:ilvl w:val="0"/>
          <w:numId w:val="1000"/>
        </w:numPr>
      </w:pPr>
      <w:r>
        <w:drawing>
          <wp:inline>
            <wp:extent cx="5334000" cy="3000375"/>
            <wp:effectExtent b="0" l="0" r="0" t="0"/>
            <wp:docPr descr="" title="" id="100" name="Picture"/>
            <a:graphic>
              <a:graphicData uri="http://schemas.openxmlformats.org/drawingml/2006/picture">
                <pic:pic>
                  <pic:nvPicPr>
                    <pic:cNvPr descr="resources/images/08-student_guide_files/figure-docx//16s-TjOg19RrkxS9sM9fGfD0M_WIxlw-e8PFWDymjvRU_g230ed3a46c7_0_0.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Hovering over the RStudio icon will show you the costs associated with your RStudio environment. Click on the RStudio icon to open the cloud environment settings.</w:t>
      </w:r>
    </w:p>
    <w:p>
      <w:pPr>
        <w:numPr>
          <w:ilvl w:val="0"/>
          <w:numId w:val="1000"/>
        </w:numPr>
      </w:pPr>
      <w:r>
        <w:drawing>
          <wp:inline>
            <wp:extent cx="5334000" cy="3000375"/>
            <wp:effectExtent b="0" l="0" r="0" t="0"/>
            <wp:docPr descr="" title="" id="103" name="Picture"/>
            <a:graphic>
              <a:graphicData uri="http://schemas.openxmlformats.org/drawingml/2006/picture">
                <pic:pic>
                  <pic:nvPicPr>
                    <pic:cNvPr descr="resources/images/08-student_guide_files/figure-docx//16s-TjOg19RrkxS9sM9fGfD0M_WIxlw-e8PFWDymjvRU_g230ed3a46c7_0_6.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Click the Pause button to pause RStudio. This will take a few minutes.</w:t>
      </w:r>
    </w:p>
    <w:p>
      <w:pPr>
        <w:numPr>
          <w:ilvl w:val="0"/>
          <w:numId w:val="1000"/>
        </w:numPr>
      </w:pPr>
      <w:r>
        <w:drawing>
          <wp:inline>
            <wp:extent cx="5334000" cy="3000375"/>
            <wp:effectExtent b="0" l="0" r="0" t="0"/>
            <wp:docPr descr="" title="" id="106" name="Picture"/>
            <a:graphic>
              <a:graphicData uri="http://schemas.openxmlformats.org/drawingml/2006/picture">
                <pic:pic>
                  <pic:nvPicPr>
                    <pic:cNvPr descr="resources/images/08-student_guide_files/figure-docx//16s-TjOg19RrkxS9sM9fGfD0M_WIxlw-e8PFWDymjvRU_g230ed3a46c7_0_23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When the environment is paused, an orange dot will be displayed next to the RStudio icon. If you hover over the icon, you will see that it is paused, and has a small ongoing cost as long as it is paused. When you’re ready to resume working, you can do so by clicking the RStudio icon and clicking Resume.</w:t>
      </w:r>
    </w:p>
    <w:p>
      <w:pPr>
        <w:numPr>
          <w:ilvl w:val="0"/>
          <w:numId w:val="1000"/>
        </w:numPr>
      </w:pPr>
      <w:r>
        <w:drawing>
          <wp:inline>
            <wp:extent cx="5334000" cy="3000375"/>
            <wp:effectExtent b="0" l="0" r="0" t="0"/>
            <wp:docPr descr="" title="" id="109" name="Picture"/>
            <a:graphic>
              <a:graphicData uri="http://schemas.openxmlformats.org/drawingml/2006/picture">
                <pic:pic>
                  <pic:nvPicPr>
                    <pic:cNvPr descr="resources/images/08-student_guide_files/figure-docx//16s-TjOg19RrkxS9sM9fGfD0M_WIxlw-e8PFWDymjvRU_g230ed3a46c7_0_237.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The right-hand side icon reminds you that you are accruing cloud computing costs. If you don’t see this icon, you may need to scroll to the right.</w:t>
      </w:r>
    </w:p>
    <w:p>
      <w:pPr>
        <w:numPr>
          <w:ilvl w:val="0"/>
          <w:numId w:val="1000"/>
        </w:numPr>
      </w:pPr>
      <w:r>
        <w:drawing>
          <wp:inline>
            <wp:extent cx="5334000" cy="3000375"/>
            <wp:effectExtent b="0" l="0" r="0" t="0"/>
            <wp:docPr descr="" title="" id="112" name="Picture"/>
            <a:graphic>
              <a:graphicData uri="http://schemas.openxmlformats.org/drawingml/2006/picture">
                <pic:pic>
                  <pic:nvPicPr>
                    <pic:cNvPr descr="resources/images/08-student_guide_files/figure-docx//1BLTCaogA04bbeSD1tR1Wt-mVceQA6FHXa8FmFzIARrg_g11f12bc99af_0_84.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Pr>
      <w:r>
        <w:t xml:space="preserve">You should minimize charges when you are not performing an analysis. You can do this by clicking on the RStudio icon and selecting</w:t>
      </w:r>
      <w:r>
        <w:t xml:space="preserve"> </w:t>
      </w:r>
      <w:r>
        <w:t xml:space="preserve">“</w:t>
      </w:r>
      <w:r>
        <w:t xml:space="preserve">Pause</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334000" cy="3000375"/>
            <wp:effectExtent b="0" l="0" r="0" t="0"/>
            <wp:docPr descr="" title="" id="115" name="Picture"/>
            <a:graphic>
              <a:graphicData uri="http://schemas.openxmlformats.org/drawingml/2006/picture">
                <pic:pic>
                  <pic:nvPicPr>
                    <pic:cNvPr descr="resources/images/08-student_guide_files/figure-docx//1BLTCaogA04bbeSD1tR1Wt-mVceQA6FHXa8FmFzIARrg_g11f12bc99af_0_91.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You can also pause your cloud environment(s) at</w:t>
      </w:r>
      <w:r>
        <w:t xml:space="preserve"> </w:t>
      </w:r>
      <w:hyperlink r:id="rId117">
        <w:r>
          <w:rPr>
            <w:rStyle w:val="Hyperlink"/>
          </w:rPr>
          <w:t xml:space="preserve">https://anvil.terra.bio/#clusters</w:t>
        </w:r>
      </w:hyperlink>
      <w:r>
        <w:t xml:space="preserve">.</w:t>
      </w:r>
    </w:p>
    <w:bookmarkEnd w:id="118"/>
    <w:bookmarkEnd w:id="119"/>
    <w:bookmarkStart w:id="162" w:name="using-galaxy-on-anvil"/>
    <w:p>
      <w:pPr>
        <w:pStyle w:val="Heading1"/>
      </w:pPr>
      <w:r>
        <w:rPr>
          <w:rStyle w:val="SectionNumber"/>
        </w:rPr>
        <w:t xml:space="preserve">2</w:t>
      </w:r>
      <w:r>
        <w:tab/>
      </w:r>
      <w:r>
        <w:t xml:space="preserve">Using Galaxy on AnVIL</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Your instructor will give you information on which workspace you should clone. 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p>
    <w:p>
      <w:pPr>
        <w:pStyle w:val="BodyText"/>
      </w:pPr>
      <w:r>
        <w:t xml:space="preserve">Clone the workspace by clicking the teardrop button (</w:t>
      </w:r>
      <w:bookmarkStart w:id="120" w:name="id"/>
      <w:r>
        <w:t xml:space="preserve">teardrop button</w:t>
      </w:r>
      <w:bookmarkEnd w:id="120"/>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22" name="Picture"/>
            <a:graphic>
              <a:graphicData uri="http://schemas.openxmlformats.org/drawingml/2006/picture">
                <pic:pic>
                  <pic:nvPicPr>
                    <pic:cNvPr descr="resources/images/08-student_guide_files/figure-docx//182AOzMaiyrreinnsRX2VhH7YsVgvAp4xtIB_7Mzmk6I_ged15532ded_0_625.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25" name="Picture"/>
            <a:graphic>
              <a:graphicData uri="http://schemas.openxmlformats.org/drawingml/2006/picture">
                <pic:pic>
                  <pic:nvPicPr>
                    <pic:cNvPr descr="resources/images/08-student_guide_files/figure-docx//182AOzMaiyrreinnsRX2VhH7YsVgvAp4xtIB_7Mzmk6I_ged15532ded_0_648.png" id="126"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bookmarkStart w:id="130" w:name="video-overview-on-using-galaxy"/>
    <w:p>
      <w:pPr>
        <w:pStyle w:val="Heading2"/>
      </w:pPr>
      <w:r>
        <w:rPr>
          <w:rStyle w:val="SectionNumber"/>
        </w:rPr>
        <w:t xml:space="preserve">2.1</w:t>
      </w:r>
      <w:r>
        <w:tab/>
      </w:r>
      <w:r>
        <w:t xml:space="preserve">Video overview on using Galaxy</w:t>
      </w:r>
    </w:p>
    <w:p>
      <w:pPr>
        <w:pStyle w:val="FirstParagraph"/>
      </w:pPr>
      <w:r>
        <w:t xml:space="preserve">Here is a video tutorial that describes the basics of using Galaxy on AnVIL.</w:t>
      </w:r>
    </w:p>
    <w:bookmarkStart w:id="127" w:name="objectives-1"/>
    <w:p>
      <w:pPr>
        <w:pStyle w:val="Heading3"/>
      </w:pPr>
      <w:r>
        <w:rPr>
          <w:rStyle w:val="SectionNumber"/>
        </w:rPr>
        <w:t xml:space="preserve">2.1.1</w:t>
      </w:r>
      <w:r>
        <w:tab/>
      </w:r>
      <w:r>
        <w:t xml:space="preserve">Objectives</w:t>
      </w:r>
    </w:p>
    <w:p>
      <w:pPr>
        <w:numPr>
          <w:ilvl w:val="0"/>
          <w:numId w:val="1006"/>
        </w:numPr>
        <w:pStyle w:val="Compact"/>
      </w:pPr>
      <w:r>
        <w:t xml:space="preserve">Start compute for your Galaxy on AnVIL</w:t>
      </w:r>
    </w:p>
    <w:p>
      <w:pPr>
        <w:numPr>
          <w:ilvl w:val="0"/>
          <w:numId w:val="1006"/>
        </w:numPr>
        <w:pStyle w:val="Compact"/>
      </w:pPr>
      <w:r>
        <w:t xml:space="preserve">Run tool to quality control sequencing reads</w:t>
      </w:r>
    </w:p>
    <w:p>
      <w:pPr>
        <w:numPr>
          <w:ilvl w:val="0"/>
          <w:numId w:val="1006"/>
        </w:numPr>
        <w:pStyle w:val="Compact"/>
      </w:pPr>
      <w:r>
        <w:t xml:space="preserve">Stop compute to minimize expenses</w:t>
      </w:r>
    </w:p>
    <w:bookmarkEnd w:id="127"/>
    <w:bookmarkStart w:id="129" w:name="slides-1"/>
    <w:p>
      <w:pPr>
        <w:pStyle w:val="Heading3"/>
      </w:pPr>
      <w:r>
        <w:rPr>
          <w:rStyle w:val="SectionNumber"/>
        </w:rPr>
        <w:t xml:space="preserve">2.1.2</w:t>
      </w:r>
      <w:r>
        <w:tab/>
      </w:r>
      <w:r>
        <w:t xml:space="preserve">Slides</w:t>
      </w:r>
    </w:p>
    <w:p>
      <w:pPr>
        <w:pStyle w:val="FirstParagraph"/>
      </w:pPr>
      <w:r>
        <w:t xml:space="preserve">The slides for this tutorial are are located</w:t>
      </w:r>
      <w:r>
        <w:t xml:space="preserve"> </w:t>
      </w:r>
      <w:hyperlink r:id="rId128">
        <w:r>
          <w:rPr>
            <w:rStyle w:val="Hyperlink"/>
          </w:rPr>
          <w:t xml:space="preserve">here</w:t>
        </w:r>
      </w:hyperlink>
      <w:r>
        <w:t xml:space="preserve">.</w:t>
      </w:r>
    </w:p>
    <w:bookmarkEnd w:id="129"/>
    <w:bookmarkEnd w:id="130"/>
    <w:bookmarkStart w:id="147" w:name="starting-galaxy"/>
    <w:p>
      <w:pPr>
        <w:pStyle w:val="Heading2"/>
      </w:pPr>
      <w:r>
        <w:rPr>
          <w:rStyle w:val="SectionNumber"/>
        </w:rPr>
        <w:t xml:space="preserve">2.2</w:t>
      </w:r>
      <w:r>
        <w:tab/>
      </w:r>
      <w:r>
        <w:t xml:space="preserve">Starting Galaxy</w:t>
      </w:r>
    </w:p>
    <w:p>
      <w:pPr>
        <w:pStyle w:val="FirstParagraph"/>
      </w:pPr>
      <w:r>
        <w:t xml:space="preserve">Galaxy is a free, relatively easy to use bioinformatics implementation package. It changes command line programs into GUI based programs and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Currently, you will need to use Chrome or Safari as your browser for Galaxy cloud environments to work.</w:t>
      </w:r>
    </w:p>
    <w:p>
      <w:pPr>
        <w:pStyle w:val="BodyText"/>
      </w:pPr>
      <w:r>
        <w:t xml:space="preserve">In your new Workspace, click on the</w:t>
      </w:r>
      <w:r>
        <w:t xml:space="preserve"> </w:t>
      </w:r>
      <w:r>
        <w:t xml:space="preserve">“</w:t>
      </w:r>
      <w:r>
        <w:t xml:space="preserve">ANALYSES</w:t>
      </w:r>
      <w:r>
        <w:t xml:space="preserve">”</w:t>
      </w:r>
      <w:r>
        <w:t xml:space="preserve"> </w:t>
      </w:r>
      <w:r>
        <w:t xml:space="preserve">tab. Next, click on</w:t>
      </w:r>
      <w:r>
        <w:t xml:space="preserve"> </w:t>
      </w:r>
      <w:r>
        <w:t xml:space="preserve">“</w:t>
      </w:r>
      <w:r>
        <w:t xml:space="preserve">START</w:t>
      </w:r>
      <w:r>
        <w:t xml:space="preserve">”</w:t>
      </w:r>
      <w:r>
        <w:t xml:space="preserve">. You should see a popup window on the right side of the screen. Click on the Galaxy logo to proceed.</w:t>
      </w:r>
    </w:p>
    <w:p>
      <w:pPr>
        <w:pStyle w:val="BodyText"/>
      </w:pPr>
      <w:r>
        <w:drawing>
          <wp:inline>
            <wp:extent cx="5334000" cy="3000375"/>
            <wp:effectExtent b="0" l="0" r="0" t="0"/>
            <wp:docPr descr="" title="" id="132" name="Picture"/>
            <a:graphic>
              <a:graphicData uri="http://schemas.openxmlformats.org/drawingml/2006/picture">
                <pic:pic>
                  <pic:nvPicPr>
                    <pic:cNvPr descr="resources/images/08-student_guide_files/figure-docx//182AOzMaiyrreinnsRX2VhH7YsVgvAp4xtIB_7Mzmk6I_ged15532ded_0_788.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w:t>
      </w:r>
    </w:p>
    <w:p>
      <w:pPr>
        <w:pStyle w:val="BodyText"/>
      </w:pPr>
      <w:r>
        <w:drawing>
          <wp:inline>
            <wp:extent cx="5334000" cy="3000375"/>
            <wp:effectExtent b="0" l="0" r="0" t="0"/>
            <wp:docPr descr="" title="" id="135" name="Picture"/>
            <a:graphic>
              <a:graphicData uri="http://schemas.openxmlformats.org/drawingml/2006/picture">
                <pic:pic>
                  <pic:nvPicPr>
                    <pic:cNvPr descr="resources/images/08-student_guide_files/figure-docx//182AOzMaiyrreinnsRX2VhH7YsVgvAp4xtIB_7Mzmk6I_ged15532ded_0_798.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Galaxy icon.</w:t>
      </w:r>
    </w:p>
    <w:p>
      <w:pPr>
        <w:pStyle w:val="BodyText"/>
      </w:pPr>
      <w:r>
        <w:drawing>
          <wp:inline>
            <wp:extent cx="5334000" cy="3000375"/>
            <wp:effectExtent b="0" l="0" r="0" t="0"/>
            <wp:docPr descr="" title="" id="138" name="Picture"/>
            <a:graphic>
              <a:graphicData uri="http://schemas.openxmlformats.org/drawingml/2006/picture">
                <pic:pic>
                  <pic:nvPicPr>
                    <pic:cNvPr descr="resources/images/08-student_guide_files/figure-docx//182AOzMaiyrreinnsRX2VhH7YsVgvAp4xtIB_7Mzmk6I_g2283b458fae_100_31.png" id="139"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see that the environment is still being set up.</w:t>
      </w:r>
    </w:p>
    <w:p>
      <w:pPr>
        <w:pStyle w:val="BodyText"/>
      </w:pPr>
      <w:r>
        <w:drawing>
          <wp:inline>
            <wp:extent cx="5334000" cy="3000375"/>
            <wp:effectExtent b="0" l="0" r="0" t="0"/>
            <wp:docPr descr="" title="" id="141" name="Picture"/>
            <a:graphic>
              <a:graphicData uri="http://schemas.openxmlformats.org/drawingml/2006/picture">
                <pic:pic>
                  <pic:nvPicPr>
                    <pic:cNvPr descr="resources/images/08-student_guide_files/figure-docx//182AOzMaiyrreinnsRX2VhH7YsVgvAp4xtIB_7Mzmk6I_g2283b458fae_100_38.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will take 8-10 minutes. When it is done, click</w:t>
      </w:r>
      <w:r>
        <w:t xml:space="preserve"> </w:t>
      </w:r>
      <w:r>
        <w:t xml:space="preserve">“</w:t>
      </w:r>
      <w:r>
        <w:t xml:space="preserve">Open</w:t>
      </w:r>
      <w:r>
        <w:t xml:space="preserve">”</w:t>
      </w:r>
      <w:r>
        <w:t xml:space="preserve">. You might need to refresh the page.</w:t>
      </w:r>
    </w:p>
    <w:p>
      <w:pPr>
        <w:pStyle w:val="BodyText"/>
      </w:pPr>
      <w:r>
        <w:drawing>
          <wp:inline>
            <wp:extent cx="5334000" cy="3000375"/>
            <wp:effectExtent b="0" l="0" r="0" t="0"/>
            <wp:docPr descr="" title="" id="144" name="Picture"/>
            <a:graphic>
              <a:graphicData uri="http://schemas.openxmlformats.org/drawingml/2006/picture">
                <pic:pic>
                  <pic:nvPicPr>
                    <pic:cNvPr descr="resources/images/08-student_guide_files/figure-docx//182AOzMaiyrreinnsRX2VhH7YsVgvAp4xtIB_7Mzmk6I_g2283b458fae_100_46.pn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Remember that you can refresh your browser or navigate away at any time. This is because the connection to the environment is in the cloud, not on your personal computer.</w:t>
      </w:r>
    </w:p>
    <w:p>
      <w:pPr>
        <w:pStyle w:val="BodyText"/>
      </w:pPr>
      <w:r>
        <w:t xml:space="preserve">You can also follow along with the first ~2 minutes of</w:t>
      </w:r>
      <w:r>
        <w:t xml:space="preserve"> </w:t>
      </w:r>
      <w:hyperlink r:id="rId146">
        <w:r>
          <w:rPr>
            <w:rStyle w:val="Hyperlink"/>
          </w:rPr>
          <w:t xml:space="preserve">this video</w:t>
        </w:r>
      </w:hyperlink>
      <w:r>
        <w:t xml:space="preserve"> </w:t>
      </w:r>
      <w:r>
        <w:t xml:space="preserve">to start Galaxy on AnVIL.</w:t>
      </w:r>
    </w:p>
    <w:bookmarkEnd w:id="147"/>
    <w:bookmarkStart w:id="151" w:name="navigating-galaxy"/>
    <w:p>
      <w:pPr>
        <w:pStyle w:val="Heading2"/>
      </w:pPr>
      <w:r>
        <w:rPr>
          <w:rStyle w:val="SectionNumber"/>
        </w:rPr>
        <w:t xml:space="preserve">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49" name="Picture"/>
            <a:graphic>
              <a:graphicData uri="http://schemas.openxmlformats.org/drawingml/2006/picture">
                <pic:pic>
                  <pic:nvPicPr>
                    <pic:cNvPr descr="resources/images/08-student_guide_files/figure-docx//182AOzMaiyrreinnsRX2VhH7YsVgvAp4xtIB_7Mzmk6I_ged15532ded_0_816.pn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151"/>
    <w:bookmarkStart w:id="161" w:name="deleting-galaxy"/>
    <w:p>
      <w:pPr>
        <w:pStyle w:val="Heading2"/>
      </w:pPr>
      <w:r>
        <w:rPr>
          <w:rStyle w:val="SectionNumber"/>
        </w:rPr>
        <w:t xml:space="preserve">2.4</w:t>
      </w:r>
      <w:r>
        <w:tab/>
      </w:r>
      <w:r>
        <w:t xml:space="preserve">Deleting Galaxy</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p>
      <w:pPr>
        <w:pStyle w:val="FirstParagraph"/>
      </w:pPr>
      <w:r>
        <w:t xml:space="preserve">Once you are done with your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53" name="Picture"/>
            <a:graphic>
              <a:graphicData uri="http://schemas.openxmlformats.org/drawingml/2006/picture">
                <pic:pic>
                  <pic:nvPicPr>
                    <pic:cNvPr descr="resources/images/08-student_guide_files/figure-docx//1yYCg4cPVBMMDghT17B4XzROieqyMH99Ex9nMm_Scm9Q_ge20e585f11_0_248.png" id="154"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Settings</w:t>
      </w:r>
      <w:r>
        <w:t xml:space="preserve">”</w:t>
      </w:r>
      <w:r>
        <w:t xml:space="preserve">. Click on</w:t>
      </w:r>
      <w:r>
        <w:t xml:space="preserve"> </w:t>
      </w:r>
      <w:r>
        <w:t xml:space="preserve">“</w:t>
      </w:r>
      <w:r>
        <w:t xml:space="preserve">Delete Environment</w:t>
      </w:r>
      <w:r>
        <w:t xml:space="preserve">”</w:t>
      </w:r>
      <w:r>
        <w:t xml:space="preserve">.</w:t>
      </w:r>
    </w:p>
    <w:p>
      <w:pPr>
        <w:pStyle w:val="BodyText"/>
      </w:pPr>
      <w:r>
        <w:drawing>
          <wp:inline>
            <wp:extent cx="5334000" cy="3000375"/>
            <wp:effectExtent b="0" l="0" r="0" t="0"/>
            <wp:docPr descr="" title="" id="156" name="Picture"/>
            <a:graphic>
              <a:graphicData uri="http://schemas.openxmlformats.org/drawingml/2006/picture">
                <pic:pic>
                  <pic:nvPicPr>
                    <pic:cNvPr descr="resources/images/08-student_guide_files/figure-docx//1yYCg4cPVBMMDghT17B4XzROieqyMH99Ex9nMm_Scm9Q_ge20e585f11_0_256.png" id="157"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59" name="Picture"/>
            <a:graphic>
              <a:graphicData uri="http://schemas.openxmlformats.org/drawingml/2006/picture">
                <pic:pic>
                  <pic:nvPicPr>
                    <pic:cNvPr descr="resources/images/08-student_guide_files/figure-docx//1UIfBMQcujMzyNTyIiMXQ6eU0DdWHmI9QUtseGylg6Ms_g117989bd49c_0_0.png" id="16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bookmarkEnd w:id="161"/>
    <w:bookmarkEnd w:id="162"/>
    <w:bookmarkStart w:id="163" w:name="references"/>
    <w:p>
      <w:pPr>
        <w:pStyle w:val="Heading1"/>
      </w:pPr>
      <w:r>
        <w:rPr>
          <w:rStyle w:val="SectionNumber"/>
        </w:rPr>
        <w:t xml:space="preserve">3</w:t>
      </w:r>
      <w:r>
        <w:tab/>
      </w:r>
      <w:r>
        <w:t xml:space="preserve">References</w:t>
      </w:r>
    </w:p>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02" Target="media/rId102.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158" Target="media/rId158.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hyperlink" Id="rId30" Target="biodigs.org" TargetMode="External" /><Relationship Type="http://schemas.openxmlformats.org/officeDocument/2006/relationships/hyperlink" Id="rId41" Target="https://anvil.terra.bio/" TargetMode="External" /><Relationship Type="http://schemas.openxmlformats.org/officeDocument/2006/relationships/hyperlink" Id="rId117" Target="https://anvil.terra.bio/#clusters" TargetMode="External" /><Relationship Type="http://schemas.openxmlformats.org/officeDocument/2006/relationships/hyperlink" Id="rId31" Target="https://anvilproject.org" TargetMode="External" /><Relationship Type="http://schemas.openxmlformats.org/officeDocument/2006/relationships/hyperlink" Id="rId26" Target="https://anvilproject.org/" TargetMode="External" /><Relationship Type="http://schemas.openxmlformats.org/officeDocument/2006/relationships/hyperlink" Id="rId70"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128" Target="https://docs.google.com/presentation/d/1yYCg4cPVBMMDghT17B4XzROieqyMH99Ex9nMm_Scm9Q/edit?usp=sharing" TargetMode="External" /><Relationship Type="http://schemas.openxmlformats.org/officeDocument/2006/relationships/hyperlink" Id="rId33" Target="https://grcf.jhmi.edu/" TargetMode="External" /><Relationship Type="http://schemas.openxmlformats.org/officeDocument/2006/relationships/hyperlink" Id="rId28" Target="https://hutchdatascience.org/AnVIL_Collection/" TargetMode="External" /><Relationship Type="http://schemas.openxmlformats.org/officeDocument/2006/relationships/hyperlink" Id="rId146" Target="https://jhudatascience.org/AnVIL_Book_Getting_Started/starting-galaxy.html" TargetMode="External" /><Relationship Type="http://schemas.openxmlformats.org/officeDocument/2006/relationships/hyperlink" Id="rId21" Target="https://www.gdscn.org/home" TargetMode="External" /><Relationship Type="http://schemas.openxmlformats.org/officeDocument/2006/relationships/hyperlink" Id="rId34" Target="https://www.pacb.com/" TargetMode="External" /><Relationship Type="http://schemas.openxmlformats.org/officeDocument/2006/relationships/hyperlink" Id="rId32" Target="https://www.udel.edu/canr/cooperative-extension/environmental-stewardship/soil-testing/" TargetMode="External" /><Relationship Type="http://schemas.openxmlformats.org/officeDocument/2006/relationships/hyperlink" Id="rId27" Target="usegalaxy.org" TargetMode="External" /></Relationships>
</file>

<file path=word/_rels/footnotes.xml.rels><?xml version="1.0" encoding="UTF-8"?><Relationships xmlns="http://schemas.openxmlformats.org/package/2006/relationships"><Relationship Type="http://schemas.openxmlformats.org/officeDocument/2006/relationships/hyperlink" Id="rId30" Target="biodigs.org" TargetMode="External" /><Relationship Type="http://schemas.openxmlformats.org/officeDocument/2006/relationships/hyperlink" Id="rId41" Target="https://anvil.terra.bio/" TargetMode="External" /><Relationship Type="http://schemas.openxmlformats.org/officeDocument/2006/relationships/hyperlink" Id="rId117" Target="https://anvil.terra.bio/#clusters" TargetMode="External" /><Relationship Type="http://schemas.openxmlformats.org/officeDocument/2006/relationships/hyperlink" Id="rId31" Target="https://anvilproject.org" TargetMode="External" /><Relationship Type="http://schemas.openxmlformats.org/officeDocument/2006/relationships/hyperlink" Id="rId26" Target="https://anvilproject.org/" TargetMode="External" /><Relationship Type="http://schemas.openxmlformats.org/officeDocument/2006/relationships/hyperlink" Id="rId70" Target="https://bioconductor.org/packages/release/bioc/vignettes/Glimma/inst/doc/limma_edger.html" TargetMode="External" /><Relationship Type="http://schemas.openxmlformats.org/officeDocument/2006/relationships/hyperlink" Id="rId20" Target="https://biodigs.org/" TargetMode="External" /><Relationship Type="http://schemas.openxmlformats.org/officeDocument/2006/relationships/hyperlink" Id="rId38" Target="https://docs.google.com/presentation/d/1eypYLLqD11-NwHLs4adGpcuSB07dYEJfAaALSMvgzqw" TargetMode="External" /><Relationship Type="http://schemas.openxmlformats.org/officeDocument/2006/relationships/hyperlink" Id="rId128" Target="https://docs.google.com/presentation/d/1yYCg4cPVBMMDghT17B4XzROieqyMH99Ex9nMm_Scm9Q/edit?usp=sharing" TargetMode="External" /><Relationship Type="http://schemas.openxmlformats.org/officeDocument/2006/relationships/hyperlink" Id="rId33" Target="https://grcf.jhmi.edu/" TargetMode="External" /><Relationship Type="http://schemas.openxmlformats.org/officeDocument/2006/relationships/hyperlink" Id="rId28" Target="https://hutchdatascience.org/AnVIL_Collection/" TargetMode="External" /><Relationship Type="http://schemas.openxmlformats.org/officeDocument/2006/relationships/hyperlink" Id="rId146" Target="https://jhudatascience.org/AnVIL_Book_Getting_Started/starting-galaxy.html" TargetMode="External" /><Relationship Type="http://schemas.openxmlformats.org/officeDocument/2006/relationships/hyperlink" Id="rId21" Target="https://www.gdscn.org/home" TargetMode="External" /><Relationship Type="http://schemas.openxmlformats.org/officeDocument/2006/relationships/hyperlink" Id="rId34" Target="https://www.pacb.com/" TargetMode="External" /><Relationship Type="http://schemas.openxmlformats.org/officeDocument/2006/relationships/hyperlink" Id="rId32" Target="https://www.udel.edu/canr/cooperative-extension/environmental-stewardship/soil-testing/" TargetMode="External" /><Relationship Type="http://schemas.openxmlformats.org/officeDocument/2006/relationships/hyperlink" Id="rId27" Target="usegalax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BioDIGS: Antimicrobial Resistance</dc:title>
  <dc:creator/>
  <dc:description>This is a companion training guide for BioDIGS, a GDSCN project.</dc:description>
  <cp:keywords/>
  <dcterms:created xsi:type="dcterms:W3CDTF">2024-10-16T12:12:09Z</dcterms:created>
  <dcterms:modified xsi:type="dcterms:W3CDTF">2024-10-16T12:12:09Z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October 16, 2024</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True</vt:lpwstr>
  </property>
  <property fmtid="{D5CDD505-2E9C-101B-9397-08002B2CF9AE}" pid="9" name="site">
    <vt:lpwstr>bookdown::bookdown_site</vt:lpwstr>
  </property>
</Properties>
</file>