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54.png" ContentType="image/png"/>
  <Override PartName="/word/media/rId20.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Antimicrobial</w:t>
      </w:r>
      <w:r>
        <w:t xml:space="preserve"> </w:t>
      </w:r>
      <w:r>
        <w:t xml:space="preserve">Resistance</w:t>
      </w:r>
    </w:p>
    <w:p>
      <w:pPr>
        <w:pStyle w:val="Date"/>
      </w:pPr>
      <w:r>
        <w:t xml:space="preserve">May</w:t>
      </w:r>
      <w:r>
        <w:t xml:space="preserve"> </w:t>
      </w:r>
      <w:r>
        <w:t xml:space="preserve">05,</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2"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investigate</w:t>
      </w:r>
      <w:r>
        <w:t xml:space="preserve"> </w:t>
      </w:r>
      <w:r>
        <w:rPr>
          <w:bCs/>
          <w:b/>
        </w:rPr>
        <w:t xml:space="preserve">whether metagenomic samples from the BioDIGS project contain antimicrobial resistance genes</w:t>
      </w:r>
      <w:r>
        <w:t xml:space="preserve">. They will run analyses using</w:t>
      </w:r>
      <w:r>
        <w:t xml:space="preserve"> </w:t>
      </w:r>
      <w:r>
        <w:rPr>
          <w:bCs/>
          <w:b/>
        </w:rPr>
        <w:t xml:space="preserve">ABRicate as implemented on Galaxy</w:t>
      </w:r>
      <w:r>
        <w:t xml:space="preserve">.</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Hb51t_aYJtY6u97-w6F8vnP1edPActzY3uYyG6AXtlY_g2d459dad204_0_16.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p>
      <w:pPr>
        <w:pStyle w:val="BodyText"/>
      </w:pPr>
      <w:r>
        <w:t xml:space="preserve">Visit the BioDIGS (BioDiversity and Informatics for Genomics Scholars) website</w:t>
      </w:r>
      <w:r>
        <w:t xml:space="preserve"> </w:t>
      </w:r>
      <w:hyperlink r:id="rId23">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4">
        <w:r>
          <w:rPr>
            <w:rStyle w:val="Hyperlink"/>
          </w:rPr>
          <w:t xml:space="preserve">here</w:t>
        </w:r>
      </w:hyperlink>
      <w:r>
        <w:t xml:space="preserve">.</w:t>
      </w:r>
    </w:p>
    <w:p>
      <w:pPr>
        <w:pStyle w:val="BodyText"/>
      </w:pPr>
      <w:r>
        <w:drawing>
          <wp:inline>
            <wp:extent cx="2857500" cy="964669"/>
            <wp:effectExtent b="0" l="0" r="0" t="0"/>
            <wp:docPr descr="" title="" id="26" name="Picture"/>
            <a:graphic>
              <a:graphicData uri="http://schemas.openxmlformats.org/drawingml/2006/picture">
                <pic:pic>
                  <pic:nvPicPr>
                    <pic:cNvPr descr="https://raw.githubusercontent.com/fhdsl/GDSCN_BioDIGS_Book/main/assets/GDSCN_style/logo_BioDIGS_final.png" id="27" name="Picture"/>
                    <pic:cNvPicPr>
                      <a:picLocks noChangeArrowheads="1" noChangeAspect="1"/>
                    </pic:cNvPicPr>
                  </pic:nvPicPr>
                  <pic:blipFill>
                    <a:blip r:embed="rId25"/>
                    <a:stretch>
                      <a:fillRect/>
                    </a:stretch>
                  </pic:blipFill>
                  <pic:spPr bwMode="auto">
                    <a:xfrm>
                      <a:off x="0" y="0"/>
                      <a:ext cx="2857500" cy="964669"/>
                    </a:xfrm>
                    <a:prstGeom prst="rect">
                      <a:avLst/>
                    </a:prstGeom>
                    <a:noFill/>
                    <a:ln w="9525">
                      <a:noFill/>
                      <a:headEnd/>
                      <a:tailEnd/>
                    </a:ln>
                  </pic:spPr>
                </pic:pic>
              </a:graphicData>
            </a:graphic>
          </wp:inline>
        </w:drawing>
      </w:r>
    </w:p>
    <w:bookmarkStart w:id="28"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br/>
      </w:r>
      <w:r>
        <w:rPr>
          <w:bCs/>
          <w:b/>
        </w:rPr>
        <w:t xml:space="preserve">Beginner</w:t>
      </w:r>
      <w:r>
        <w:t xml:space="preserve">: some genetics knowledge needed</w:t>
      </w:r>
    </w:p>
    <w:p>
      <w:pPr>
        <w:pStyle w:val="BodyText"/>
      </w:pPr>
      <w:r>
        <w:rPr>
          <w:iCs/>
          <w:i/>
        </w:rPr>
        <w:t xml:space="preserve">Programming skills</w:t>
      </w:r>
      <w:r>
        <w:br/>
      </w:r>
      <w:r>
        <w:rPr>
          <w:bCs/>
          <w:b/>
        </w:rPr>
        <w:t xml:space="preserve">Novice</w:t>
      </w:r>
      <w:r>
        <w:t xml:space="preserve">: no programming experience needed</w:t>
      </w:r>
    </w:p>
    <w:bookmarkEnd w:id="28"/>
    <w:bookmarkStart w:id="35"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9">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30">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31">
        <w:r>
          <w:rPr>
            <w:rStyle w:val="Hyperlink"/>
          </w:rPr>
          <w:t xml:space="preserve">https://hutchdatascience.org/AnVIL_Collection/</w:t>
        </w:r>
      </w:hyperlink>
    </w:p>
    <w:p>
      <w:pPr>
        <w:pStyle w:val="BodyText"/>
      </w:pPr>
      <w:r>
        <w:drawing>
          <wp:inline>
            <wp:extent cx="4762500" cy="660082"/>
            <wp:effectExtent b="0" l="0" r="0" t="0"/>
            <wp:docPr descr="" title="" id="33" name="Picture"/>
            <a:graphic>
              <a:graphicData uri="http://schemas.openxmlformats.org/drawingml/2006/picture">
                <pic:pic>
                  <pic:nvPicPr>
                    <pic:cNvPr descr="https://raw.githubusercontent.com/fhdsl/GDSCN_BioDIGS_Book/main/assets/GDSCN_style/powered-by-anvil.png" id="34" name="Picture"/>
                    <pic:cNvPicPr>
                      <a:picLocks noChangeArrowheads="1" noChangeAspect="1"/>
                    </pic:cNvPicPr>
                  </pic:nvPicPr>
                  <pic:blipFill>
                    <a:blip r:embed="rId32"/>
                    <a:stretch>
                      <a:fillRect/>
                    </a:stretch>
                  </pic:blipFill>
                  <pic:spPr bwMode="auto">
                    <a:xfrm>
                      <a:off x="0" y="0"/>
                      <a:ext cx="4762500" cy="660082"/>
                    </a:xfrm>
                    <a:prstGeom prst="rect">
                      <a:avLst/>
                    </a:prstGeom>
                    <a:noFill/>
                    <a:ln w="9525">
                      <a:noFill/>
                      <a:headEnd/>
                      <a:tailEnd/>
                    </a:ln>
                  </pic:spPr>
                </pic:pic>
              </a:graphicData>
            </a:graphic>
          </wp:inline>
        </w:drawing>
      </w:r>
    </w:p>
    <w:bookmarkEnd w:id="35"/>
    <w:bookmarkStart w:id="41"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6">
        <w:r>
          <w:rPr>
            <w:rStyle w:val="Hyperlink"/>
          </w:rPr>
          <w:t xml:space="preserve">BioDIGS website</w:t>
        </w:r>
      </w:hyperlink>
      <w:r>
        <w:t xml:space="preserve">, as well as through an</w:t>
      </w:r>
      <w:r>
        <w:t xml:space="preserve"> </w:t>
      </w:r>
      <w:hyperlink r:id="rId37">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8">
        <w:r>
          <w:rPr>
            <w:rStyle w:val="Hyperlink"/>
          </w:rPr>
          <w:t xml:space="preserve">Delaware Soil Testing Program</w:t>
        </w:r>
      </w:hyperlink>
      <w:r>
        <w:t xml:space="preserve"> </w:t>
      </w:r>
      <w:r>
        <w:t xml:space="preserve">at the University of Delaware. Sequences were generated by the</w:t>
      </w:r>
      <w:r>
        <w:t xml:space="preserve"> </w:t>
      </w:r>
      <w:hyperlink r:id="rId39">
        <w:r>
          <w:rPr>
            <w:rStyle w:val="Hyperlink"/>
          </w:rPr>
          <w:t xml:space="preserve">Johns Hopkins University Genetic Resources Core Facility</w:t>
        </w:r>
      </w:hyperlink>
      <w:r>
        <w:t xml:space="preserve"> </w:t>
      </w:r>
      <w:r>
        <w:t xml:space="preserve">and by</w:t>
      </w:r>
      <w:r>
        <w:t xml:space="preserve"> </w:t>
      </w:r>
      <w:hyperlink r:id="rId40">
        <w:r>
          <w:rPr>
            <w:rStyle w:val="Hyperlink"/>
          </w:rPr>
          <w:t xml:space="preserve">PacBio</w:t>
        </w:r>
      </w:hyperlink>
      <w:r>
        <w:t xml:space="preserve">.</w:t>
      </w:r>
    </w:p>
    <w:bookmarkEnd w:id="41"/>
    <w:bookmarkEnd w:id="42"/>
    <w:bookmarkStart w:id="65" w:name="amr-resistance-with-galaxy"/>
    <w:p>
      <w:pPr>
        <w:pStyle w:val="Heading1"/>
      </w:pPr>
      <w:r>
        <w:rPr>
          <w:rStyle w:val="SectionNumber"/>
        </w:rPr>
        <w:t xml:space="preserve">1</w:t>
      </w:r>
      <w:r>
        <w:tab/>
      </w:r>
      <w:r>
        <w:t xml:space="preserve">AMR Resistance with Galaxy</w:t>
      </w:r>
    </w:p>
    <w:bookmarkStart w:id="52" w:name="anvil-account-setup"/>
    <w:p>
      <w:pPr>
        <w:pStyle w:val="Heading2"/>
      </w:pPr>
      <w:r>
        <w:rPr>
          <w:rStyle w:val="SectionNumber"/>
        </w:rPr>
        <w:t xml:space="preserve">1.1</w:t>
      </w:r>
      <w:r>
        <w:tab/>
      </w:r>
      <w:r>
        <w:t xml:space="preserve">AnVIL Account Setup</w:t>
      </w:r>
    </w:p>
    <w:p>
      <w:pPr>
        <w:pStyle w:val="FirstParagraph"/>
      </w:pPr>
      <w:r>
        <w:t xml:space="preserve">In order to run your analyses, you will use the</w:t>
      </w:r>
      <w:r>
        <w:t xml:space="preserve"> </w:t>
      </w:r>
      <w:hyperlink r:id="rId29">
        <w:r>
          <w:rPr>
            <w:rStyle w:val="Hyperlink"/>
          </w:rPr>
          <w:t xml:space="preserve">AnVIL cloud computing platform</w:t>
        </w:r>
      </w:hyperlink>
      <w:r>
        <w:t xml:space="preserve">. The AnVIL (Analysis Visualization and Informatics Lab-space) platform is specially designed for analyzing biological data, and is used by scientists doing all sorts of biological research.</w:t>
      </w:r>
    </w:p>
    <w:p>
      <w:pPr>
        <w:pStyle w:val="BodyText"/>
      </w:pPr>
      <w:r>
        <w:rPr>
          <w:bCs/>
          <w:b/>
        </w:rPr>
        <w:t xml:space="preserve">AnVIL in a nutshell</w:t>
      </w:r>
    </w:p>
    <w:p>
      <w:pPr>
        <w:numPr>
          <w:ilvl w:val="0"/>
          <w:numId w:val="1001"/>
        </w:numPr>
        <w:pStyle w:val="Compact"/>
      </w:pPr>
      <w:r>
        <w:t xml:space="preserve">Behind the scenes, AnVIL relies on Google Cloud Platform to provide computing infrastructure. Basically, AnVIL lets you</w:t>
      </w:r>
      <w:r>
        <w:t xml:space="preserve"> </w:t>
      </w:r>
      <w:r>
        <w:t xml:space="preserve">“</w:t>
      </w:r>
      <w:r>
        <w:t xml:space="preserve">rent</w:t>
      </w:r>
      <w:r>
        <w:t xml:space="preserve">”</w:t>
      </w:r>
      <w:r>
        <w:t xml:space="preserve"> </w:t>
      </w:r>
      <w:r>
        <w:t xml:space="preserve">computers through the internet. The analysis is run on the rented computer. AnVIL lets you see the results in your browser.</w:t>
      </w:r>
    </w:p>
    <w:p>
      <w:pPr>
        <w:numPr>
          <w:ilvl w:val="0"/>
          <w:numId w:val="1001"/>
        </w:numPr>
        <w:pStyle w:val="Compact"/>
      </w:pPr>
      <w:r>
        <w:t xml:space="preserve">AnVIL uses</w:t>
      </w:r>
      <w:r>
        <w:t xml:space="preserve"> </w:t>
      </w:r>
      <w:hyperlink r:id="rId43">
        <w:r>
          <w:rPr>
            <w:rStyle w:val="Hyperlink"/>
          </w:rPr>
          <w:t xml:space="preserve">Terra</w:t>
        </w:r>
      </w:hyperlink>
      <w:r>
        <w:t xml:space="preserve"> </w:t>
      </w:r>
      <w:r>
        <w:t xml:space="preserve">to provide many computational tools useful for biological data analysis, such as</w:t>
      </w:r>
      <w:r>
        <w:t xml:space="preserve"> </w:t>
      </w:r>
      <w:hyperlink r:id="rId44">
        <w:r>
          <w:rPr>
            <w:rStyle w:val="Hyperlink"/>
          </w:rPr>
          <w:t xml:space="preserve">RStudio</w:t>
        </w:r>
      </w:hyperlink>
      <w:r>
        <w:t xml:space="preserve">,</w:t>
      </w:r>
      <w:r>
        <w:t xml:space="preserve"> </w:t>
      </w:r>
      <w:hyperlink r:id="rId45">
        <w:r>
          <w:rPr>
            <w:rStyle w:val="Hyperlink"/>
          </w:rPr>
          <w:t xml:space="preserve">Galaxy</w:t>
        </w:r>
      </w:hyperlink>
      <w:r>
        <w:t xml:space="preserve">, and</w:t>
      </w:r>
      <w:r>
        <w:t xml:space="preserve"> </w:t>
      </w:r>
      <w:hyperlink r:id="rId46">
        <w:r>
          <w:rPr>
            <w:rStyle w:val="Hyperlink"/>
          </w:rPr>
          <w:t xml:space="preserve">Jupyter Notebooks</w:t>
        </w:r>
      </w:hyperlink>
      <w:r>
        <w:t xml:space="preserve">. Terra takes care of installing these tools so you can use them right away.</w:t>
      </w:r>
    </w:p>
    <w:bookmarkStart w:id="49" w:name="create-google-account"/>
    <w:p>
      <w:pPr>
        <w:pStyle w:val="Heading3"/>
      </w:pPr>
      <w:r>
        <w:rPr>
          <w:rStyle w:val="SectionNumber"/>
        </w:rPr>
        <w:t xml:space="preserve">1.1.1</w:t>
      </w:r>
      <w:r>
        <w:tab/>
      </w:r>
      <w:r>
        <w:t xml:space="preserve">Create Google Account</w:t>
      </w:r>
    </w:p>
    <w:p>
      <w:pPr>
        <w:pStyle w:val="FirstParagraph"/>
      </w:pPr>
      <w:r>
        <w:t xml:space="preserve">First, you will need to set up a (free) Google account.</w:t>
      </w:r>
    </w:p>
    <w:p>
      <w:pPr>
        <w:pStyle w:val="BodyText"/>
      </w:pPr>
      <w:r>
        <w:t xml:space="preserve">A Google account usually looks like</w:t>
      </w:r>
      <w:r>
        <w:t xml:space="preserve"> </w:t>
      </w:r>
      <w:r>
        <w:t xml:space="preserve">“</w:t>
      </w:r>
      <w:r>
        <w:rPr>
          <w:rStyle w:val="VerbatimChar"/>
        </w:rPr>
        <w:t xml:space="preserve">myname@gmail.com</w:t>
      </w:r>
      <w:r>
        <w:t xml:space="preserve">”</w:t>
      </w:r>
      <w:r>
        <w:t xml:space="preserve">. Alternatively, you can enable Google for an existing non-Gmail email address using</w:t>
      </w:r>
      <w:r>
        <w:t xml:space="preserve"> </w:t>
      </w:r>
      <w:hyperlink r:id="rId47">
        <w:r>
          <w:rPr>
            <w:rStyle w:val="Hyperlink"/>
          </w:rPr>
          <w:t xml:space="preserve">these instructions</w:t>
        </w:r>
      </w:hyperlink>
      <w:r>
        <w:t xml:space="preserve">.</w:t>
      </w:r>
    </w:p>
    <w:p>
      <w:pPr>
        <w:pStyle w:val="BodyText"/>
      </w:pPr>
      <w:r>
        <w:t xml:space="preserve">If you do not already have a Google account that you would like to use for accessing AnVIL,</w:t>
      </w:r>
      <w:r>
        <w:t xml:space="preserve"> </w:t>
      </w:r>
      <w:hyperlink r:id="rId48">
        <w:r>
          <w:rPr>
            <w:rStyle w:val="Hyperlink"/>
          </w:rPr>
          <w:t xml:space="preserve">create one now</w:t>
        </w:r>
      </w:hyperlink>
      <w:r>
        <w:t xml:space="preserve">.</w:t>
      </w:r>
    </w:p>
    <w:bookmarkEnd w:id="49"/>
    <w:bookmarkStart w:id="50" w:name="log-in-to-terra"/>
    <w:p>
      <w:pPr>
        <w:pStyle w:val="Heading3"/>
      </w:pPr>
      <w:r>
        <w:rPr>
          <w:rStyle w:val="SectionNumber"/>
        </w:rPr>
        <w:t xml:space="preserve">1.1.2</w:t>
      </w:r>
      <w:r>
        <w:tab/>
      </w:r>
      <w:r>
        <w:t xml:space="preserve">Log In to Terra</w:t>
      </w:r>
    </w:p>
    <w:p>
      <w:pPr>
        <w:pStyle w:val="FirstParagraph"/>
      </w:pPr>
      <w:r>
        <w:t xml:space="preserve">Next, make sure you can log in to Terra – you will use Terra to perform computations on AnVIL.</w:t>
      </w:r>
    </w:p>
    <w:p>
      <w:pPr>
        <w:pStyle w:val="BodyText"/>
      </w:pPr>
      <w:r>
        <w:t xml:space="preserve">You can access Terra by going to</w:t>
      </w:r>
      <w:r>
        <w:t xml:space="preserve"> </w:t>
      </w:r>
      <w:hyperlink r:id="rId43">
        <w:r>
          <w:rPr>
            <w:rStyle w:val="VerbatimChar"/>
          </w:rPr>
          <w:t xml:space="preserve">anvil.terra.bio</w:t>
        </w:r>
      </w:hyperlink>
      <w:r>
        <w:t xml:space="preserve">. Open Terra, and you should be prompted to sign in with your Google account.</w:t>
      </w:r>
    </w:p>
    <w:bookmarkEnd w:id="50"/>
    <w:bookmarkStart w:id="51" w:name="share-username"/>
    <w:p>
      <w:pPr>
        <w:pStyle w:val="Heading3"/>
      </w:pPr>
      <w:r>
        <w:rPr>
          <w:rStyle w:val="SectionNumber"/>
        </w:rPr>
        <w:t xml:space="preserve">1.1.3</w:t>
      </w:r>
      <w:r>
        <w:tab/>
      </w:r>
      <w:r>
        <w:t xml:space="preserve">Share Username</w:t>
      </w:r>
    </w:p>
    <w:p>
      <w:pPr>
        <w:pStyle w:val="FirstParagraph"/>
      </w:pPr>
      <w:r>
        <w:t xml:space="preserve">Make sure your instructor has your Google account username (e.g. </w:t>
      </w:r>
      <w:r>
        <w:rPr>
          <w:rStyle w:val="VerbatimChar"/>
        </w:rPr>
        <w:t xml:space="preserve">myname@gmail.com</w:t>
      </w:r>
      <w:r>
        <w:t xml:space="preserve">), so they can give you access to everything you need.</w:t>
      </w:r>
    </w:p>
    <w:p>
      <w:pPr>
        <w:numPr>
          <w:ilvl w:val="0"/>
          <w:numId w:val="1002"/>
        </w:numPr>
        <w:pStyle w:val="Compact"/>
      </w:pPr>
      <w:r>
        <w:t xml:space="preserve">Make sure there are no typos!</w:t>
      </w:r>
    </w:p>
    <w:p>
      <w:pPr>
        <w:numPr>
          <w:ilvl w:val="0"/>
          <w:numId w:val="1002"/>
        </w:numPr>
        <w:pStyle w:val="Compact"/>
      </w:pPr>
      <w:r>
        <w:t xml:space="preserve">If you have multiple Google accounts, make sure you give them the username that you will be using to log in to</w:t>
      </w:r>
      <w:r>
        <w:t xml:space="preserve"> </w:t>
      </w:r>
      <w:r>
        <w:rPr>
          <w:rStyle w:val="VerbatimChar"/>
        </w:rPr>
        <w:t xml:space="preserve">anvil.terra.bio</w:t>
      </w:r>
      <w:r>
        <w:t xml:space="preserve">.</w:t>
      </w:r>
    </w:p>
    <w:p>
      <w:pPr>
        <w:pStyle w:val="FirstParagraph"/>
      </w:pPr>
      <w:r>
        <w:t xml:space="preserve">It is</w:t>
      </w:r>
      <w:r>
        <w:t xml:space="preserve"> </w:t>
      </w:r>
      <w:r>
        <w:rPr>
          <w:iCs/>
          <w:i/>
        </w:rPr>
        <w:t xml:space="preserve">very important</w:t>
      </w:r>
      <w:r>
        <w:t xml:space="preserve"> </w:t>
      </w:r>
      <w:r>
        <w:t xml:space="preserve">that you share the Google account you will be using to access AnVIL with with your instructor! Otherwise, the instructor cannot add you to Billing Projects or Workspaces, and you will be unable to proceed with your assignments.</w:t>
      </w:r>
    </w:p>
    <w:bookmarkEnd w:id="51"/>
    <w:bookmarkEnd w:id="52"/>
    <w:bookmarkStart w:id="64" w:name="cloning-the-anvil-workspace"/>
    <w:p>
      <w:pPr>
        <w:pStyle w:val="Heading2"/>
      </w:pPr>
      <w:r>
        <w:rPr>
          <w:rStyle w:val="SectionNumber"/>
        </w:rPr>
        <w:t xml:space="preserve">1.2</w:t>
      </w:r>
      <w:r>
        <w:tab/>
      </w:r>
      <w:r>
        <w:t xml:space="preserve">Cloning the AnVIL Workspace</w:t>
      </w:r>
    </w:p>
    <w:p>
      <w:pPr>
        <w:pStyle w:val="SourceCode"/>
      </w:pPr>
      <w:r>
        <w:rPr>
          <w:rStyle w:val="VerbatimChar"/>
        </w:rPr>
        <w:t xml:space="preserve">## Warning: Chunk option fig.alt is not supported for docx output</w:t>
      </w:r>
      <w:r>
        <w:br/>
      </w:r>
      <w:r>
        <w:rPr>
          <w:rStyle w:val="VerbatimChar"/>
        </w:rPr>
        <w:t xml:space="preserve">## Warning: Chunk option fig.alt is not supported for docx output</w:t>
      </w:r>
    </w:p>
    <w:p>
      <w:pPr>
        <w:pStyle w:val="FirstParagraph"/>
      </w:pPr>
      <w:r>
        <w:t xml:space="preserve">This</w:t>
      </w:r>
      <w:r>
        <w:t xml:space="preserve"> </w:t>
      </w:r>
      <w:r>
        <w:rPr>
          <w:bCs/>
          <w:b/>
        </w:rPr>
        <w:t xml:space="preserve">will not work</w:t>
      </w:r>
      <w:r>
        <w:t xml:space="preserve"> </w:t>
      </w:r>
      <w:r>
        <w:t xml:space="preserve">until your instructor has given you permission to spend money to</w:t>
      </w:r>
      <w:r>
        <w:t xml:space="preserve"> </w:t>
      </w:r>
      <w:r>
        <w:t xml:space="preserve">“</w:t>
      </w:r>
      <w:r>
        <w:t xml:space="preserve">rent</w:t>
      </w:r>
      <w:r>
        <w:t xml:space="preserve">”</w:t>
      </w:r>
      <w:r>
        <w:t xml:space="preserve"> </w:t>
      </w:r>
      <w:r>
        <w:t xml:space="preserve">the computers that will power your analyses (by adding you to a</w:t>
      </w:r>
      <w:r>
        <w:t xml:space="preserve"> </w:t>
      </w:r>
      <w:r>
        <w:t xml:space="preserve">“</w:t>
      </w:r>
      <w:r>
        <w:t xml:space="preserve">Billing Project</w:t>
      </w:r>
      <w:r>
        <w:t xml:space="preserve">”</w:t>
      </w:r>
      <w:r>
        <w:t xml:space="preserve">).</w:t>
      </w:r>
    </w:p>
    <w:p>
      <w:pPr>
        <w:pStyle w:val="BodyText"/>
      </w:pPr>
      <w:r>
        <w:t xml:space="preserve">On AnVIL, you access files and computers through</w:t>
      </w:r>
      <w:r>
        <w:t xml:space="preserve"> </w:t>
      </w:r>
      <w:r>
        <w:rPr>
          <w:bCs/>
          <w:b/>
        </w:rPr>
        <w:t xml:space="preserve">Workspaces</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 This will give you access to</w:t>
      </w:r>
    </w:p>
    <w:p>
      <w:pPr>
        <w:numPr>
          <w:ilvl w:val="0"/>
          <w:numId w:val="1003"/>
        </w:numPr>
        <w:pStyle w:val="Compact"/>
      </w:pPr>
      <w:r>
        <w:t xml:space="preserve">the files you will need (data, code)</w:t>
      </w:r>
    </w:p>
    <w:p>
      <w:pPr>
        <w:numPr>
          <w:ilvl w:val="0"/>
          <w:numId w:val="1003"/>
        </w:numPr>
        <w:pStyle w:val="Compact"/>
      </w:pPr>
      <w:r>
        <w:t xml:space="preserve">the computing environment you will use</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To clone an AnVIL Workspace:</w:t>
      </w:r>
    </w:p>
    <w:p>
      <w:pPr>
        <w:numPr>
          <w:ilvl w:val="0"/>
          <w:numId w:val="1004"/>
        </w:numPr>
      </w:pPr>
      <w:r>
        <w:t xml:space="preserve">Go to the Workspace by clicking this link:</w:t>
      </w:r>
      <w:r>
        <w:t xml:space="preserve"> </w:t>
      </w:r>
      <w:hyperlink r:id="rId53">
        <w:r>
          <w:rPr>
            <w:rStyle w:val="Hyperlink"/>
          </w:rPr>
          <w:t xml:space="preserve">https://anvil.terra.bio/#workspaces/gdscn-exercises/Investigating-Antimicrobial-Resistance</w:t>
        </w:r>
      </w:hyperlink>
      <w:r>
        <w:t xml:space="preserve">.</w:t>
      </w:r>
    </w:p>
    <w:p>
      <w:pPr>
        <w:numPr>
          <w:ilvl w:val="0"/>
          <w:numId w:val="1004"/>
        </w:numPr>
      </w:pPr>
      <w:r>
        <w:t xml:space="preserve">Clone the workspace by clicking the teardrop button (</w:t>
      </w:r>
      <w:r>
        <w:drawing>
          <wp:inline>
            <wp:extent cx="238125" cy="201014"/>
            <wp:effectExtent b="0" l="0" r="0" t="0"/>
            <wp:docPr descr="teardrop button" title="" id="55" name="Picture"/>
            <a:graphic>
              <a:graphicData uri="http://schemas.openxmlformats.org/drawingml/2006/picture">
                <pic:pic>
                  <pic:nvPicPr>
                    <pic:cNvPr descr="https://raw.githubusercontent.com/jhudsl/AnVIL_Template/main/child/child_assets/teardrop_button.png" id="56" name="Picture"/>
                    <pic:cNvPicPr>
                      <a:picLocks noChangeArrowheads="1" noChangeAspect="1"/>
                    </pic:cNvPicPr>
                  </pic:nvPicPr>
                  <pic:blipFill>
                    <a:blip r:embed="rId54"/>
                    <a:stretch>
                      <a:fillRect/>
                    </a:stretch>
                  </pic:blipFill>
                  <pic:spPr bwMode="auto">
                    <a:xfrm>
                      <a:off x="0" y="0"/>
                      <a:ext cx="238125" cy="201014"/>
                    </a:xfrm>
                    <a:prstGeom prst="rect">
                      <a:avLst/>
                    </a:prstGeom>
                    <a:noFill/>
                    <a:ln w="9525">
                      <a:noFill/>
                      <a:headEnd/>
                      <a:tailEnd/>
                    </a:ln>
                  </pic:spPr>
                </pic:pic>
              </a:graphicData>
            </a:graphic>
          </wp:inline>
        </w:drawing>
      </w:r>
      <w:r>
        <w:t xml:space="preserve">). Select</w:t>
      </w:r>
      <w:r>
        <w:t xml:space="preserve"> </w:t>
      </w:r>
      <w:r>
        <w:t xml:space="preserve">“</w:t>
      </w:r>
      <w:r>
        <w:t xml:space="preserve">Clone</w:t>
      </w:r>
      <w:r>
        <w:t xml:space="preserve">”</w:t>
      </w:r>
      <w:r>
        <w:t xml:space="preserve">. See the screenshot below on a different Workspace:</w:t>
      </w:r>
    </w:p>
    <w:p>
      <w:pPr>
        <w:numPr>
          <w:ilvl w:val="0"/>
          <w:numId w:val="1000"/>
        </w:numPr>
      </w:pPr>
      <w:r>
        <w:drawing>
          <wp:inline>
            <wp:extent cx="5334000" cy="3000375"/>
            <wp:effectExtent b="0" l="0" r="0" t="0"/>
            <wp:docPr descr="" title="" id="58" name="Picture"/>
            <a:graphic>
              <a:graphicData uri="http://schemas.openxmlformats.org/drawingml/2006/picture">
                <pic:pic>
                  <pic:nvPicPr>
                    <pic:cNvPr descr="resources/images/09-student_guide_files/figure-docx//1a5Da6qX9BG7Q_6XAz7MvlDyWTvssm2hWwuo1WFJXb_0_g117abafa453_0_577.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You will see a popup box appear, asking you to configure your Workspace</w:t>
      </w:r>
    </w:p>
    <w:p>
      <w:pPr>
        <w:numPr>
          <w:ilvl w:val="1"/>
          <w:numId w:val="1005"/>
        </w:numPr>
        <w:pStyle w:val="Compact"/>
      </w:pPr>
      <w:r>
        <w:t xml:space="preserve">Give your Workspace clone a name by adding an underscore (“_“) and your name. For example, "Investigating-Antimicrobial-Resistance_Firstname_Lastname".</w:t>
      </w:r>
    </w:p>
    <w:p>
      <w:pPr>
        <w:numPr>
          <w:ilvl w:val="1"/>
          <w:numId w:val="1005"/>
        </w:numPr>
        <w:pStyle w:val="Compact"/>
      </w:pPr>
      <w:r>
        <w:t xml:space="preserve">Select the Billing Project provided by your instructor.</w:t>
      </w:r>
    </w:p>
    <w:p>
      <w:pPr>
        <w:numPr>
          <w:ilvl w:val="1"/>
          <w:numId w:val="1005"/>
        </w:numPr>
        <w:pStyle w:val="Compact"/>
      </w:pPr>
      <w:r>
        <w:t xml:space="preserve">Leave the bottom two boxes as-is.</w:t>
      </w:r>
    </w:p>
    <w:p>
      <w:pPr>
        <w:numPr>
          <w:ilvl w:val="1"/>
          <w:numId w:val="1005"/>
        </w:numPr>
        <w:pStyle w:val="Compact"/>
      </w:pPr>
      <w:r>
        <w:t xml:space="preserve">Click</w:t>
      </w:r>
      <w:r>
        <w:t xml:space="preserve"> </w:t>
      </w:r>
      <w:r>
        <w:t xml:space="preserve">“</w:t>
      </w:r>
      <w:r>
        <w:t xml:space="preserve">CLONE WORKSPACE</w:t>
      </w:r>
      <w:r>
        <w:t xml:space="preserve">”</w:t>
      </w:r>
      <w:r>
        <w:t xml:space="preserve">.</w:t>
      </w:r>
    </w:p>
    <w:p>
      <w:pPr>
        <w:numPr>
          <w:ilvl w:val="0"/>
          <w:numId w:val="1000"/>
        </w:numPr>
      </w:pPr>
      <w:r>
        <w:t xml:space="preserve">See the screenshot below on a different Workspace:</w:t>
      </w:r>
    </w:p>
    <w:p>
      <w:pPr>
        <w:numPr>
          <w:ilvl w:val="0"/>
          <w:numId w:val="1000"/>
        </w:numPr>
      </w:pPr>
      <w:r>
        <w:drawing>
          <wp:inline>
            <wp:extent cx="5334000" cy="3000375"/>
            <wp:effectExtent b="0" l="0" r="0" t="0"/>
            <wp:docPr descr="" title="" id="61" name="Picture"/>
            <a:graphic>
              <a:graphicData uri="http://schemas.openxmlformats.org/drawingml/2006/picture">
                <pic:pic>
                  <pic:nvPicPr>
                    <pic:cNvPr descr="resources/images/09-student_guide_files/figure-docx//1a5Da6qX9BG7Q_6XAz7MvlDyWTvssm2hWwuo1WFJXb_0_g17144dbacd0_0_352.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The new Workspace should now show up under</w:t>
      </w:r>
      <w:r>
        <w:t xml:space="preserve"> </w:t>
      </w:r>
      <w:hyperlink r:id="rId63">
        <w:r>
          <w:rPr>
            <w:rStyle w:val="Hyperlink"/>
          </w:rPr>
          <w:t xml:space="preserve">https://anvil.terra.bio/#workspaces</w:t>
        </w:r>
      </w:hyperlink>
      <w:r>
        <w:t xml:space="preserve">. This is your own copy of the Workspace to work in.</w:t>
      </w:r>
    </w:p>
    <w:p>
      <w:pPr>
        <w:pStyle w:val="FirstParagraph"/>
      </w:pPr>
      <w:r>
        <w:t xml:space="preserve">More details coming soon!</w:t>
      </w:r>
    </w:p>
    <w:bookmarkEnd w:id="64"/>
    <w:bookmarkEnd w:id="65"/>
    <w:bookmarkStart w:id="66" w:name="references"/>
    <w:p>
      <w:pPr>
        <w:pStyle w:val="Heading1"/>
      </w:pPr>
      <w:r>
        <w:rPr>
          <w:rStyle w:val="SectionNumber"/>
        </w:rPr>
        <w:t xml:space="preserve">2</w:t>
      </w:r>
      <w:r>
        <w:tab/>
      </w:r>
      <w:r>
        <w:t xml:space="preserve">References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Antimicrobial Resistance</dc:title>
  <dc:creator/>
  <dc:description>This is a companion training guide for BioDIGS, a GDSCN project.</dc:description>
  <cp:keywords/>
  <dcterms:created xsi:type="dcterms:W3CDTF">2025-05-05T13:30:40Z</dcterms:created>
  <dcterms:modified xsi:type="dcterms:W3CDTF">2025-05-05T13:30:40Z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May 05,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