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2026-08-26</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1.5 - 2 hours (estimated with community college students)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5"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pPr>
            <w:r>
              <w:t xml:space="preserve">Instructors have mentioned this works well as an</w:t>
            </w:r>
            <w:r>
              <w:t xml:space="preserve"> </w:t>
            </w:r>
            <w:r>
              <w:rPr>
                <w:b/>
                <w:bCs/>
              </w:rPr>
              <w:t xml:space="preserve">in-class</w:t>
            </w:r>
            <w:r>
              <w:t xml:space="preserve"> </w:t>
            </w:r>
            <w:r>
              <w:t xml:space="preserve">activity, compared to an independent modality such as assigned homework.</w:t>
            </w:r>
          </w:p>
          <w:p>
            <w:pPr>
              <w:pStyle w:val="BodyText"/>
            </w:pPr>
            <w:pPr>
              <w:spacing w:after="16"/>
            </w:pPr>
            <w:r>
              <w:t xml:space="preserve">You might have students work in teams with one doing the code and the other following the instructions.</w:t>
            </w:r>
          </w:p>
          <w:p/>
        </w:tc>
      </w:tr>
    </w:tbl>
    <w:bookmarkEnd w:id="41"/>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52" w:name="scientific-topics"/>
    <w:p>
      <w:pPr>
        <w:pStyle w:val="Heading2"/>
      </w:pPr>
      <w:r>
        <w:t xml:space="preserve">Scientific Topics</w:t>
      </w:r>
    </w:p>
    <w:p>
      <w:pPr>
        <w:pStyle w:val="FirstParagraph"/>
      </w:pPr>
      <w:r>
        <w:t xml:space="preserve">The activity is based a</w:t>
      </w:r>
      <w:r>
        <w:t xml:space="preserve"> </w:t>
      </w:r>
      <w:hyperlink r:id="rId46">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Tip</w:t>
            </w:r>
          </w:p>
        </w:tc>
      </w:tr>
      <w:tr>
        <w:trPr>
          <w:cantSplit/>
        </w:trPr>
        <w:tc>
          <w:tcPr>
            <w:tcMar>
              <w:top w:w="108" w:type="dxa"/>
              <w:bottom w:w="108" w:type="dxa"/>
            </w:tcMar>
          </w:tcPr>
          <w:p>
            <w:pPr>
              <w:pStyle w:val="BodyText"/>
            </w:pPr>
            <w:pPr>
              <w:spacing w:before="16" w:after="16"/>
            </w:pPr>
            <w:r>
              <w:t xml:space="preserve">Students might struggle with the question,</w:t>
            </w:r>
            <w:r>
              <w:t xml:space="preserve"> </w:t>
            </w:r>
            <w:r>
              <w:t xml:space="preserve">“Many individuals are missing diagnoses, genotypes, or both. Why do you think that might be the case?”</w:t>
            </w:r>
            <w:r>
              <w:t xml:space="preserve"> </w:t>
            </w:r>
            <w:r>
              <w:t xml:space="preserve">Encourage them to think critically and consider ethics here!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also wish to include a discussion of genetic sex versus gender expression. There is growing awareness of the nonbinary nature of sex and gender, as well as respect for the importance in clinical settings of a person’s self-identified gender and sexuality</w:t>
            </w:r>
            <w:r>
              <w:t xml:space="preserve"> </w:t>
            </w:r>
            <w:r>
              <w:t xml:space="preserve">[1]</w:t>
            </w:r>
            <w:r>
              <w:t xml:space="preserve">. For example, more inclusive pedigrees might use shapes that align with gender expression, while noting biological sex (such as assigned female at birth, or AFAB) underneath.</w:t>
            </w:r>
          </w:p>
          <w:p/>
        </w:tc>
      </w:tr>
    </w:tbl>
    <w:bookmarkEnd w:id="52"/>
    <w:bookmarkStart w:id="57" w:name="outline"/>
    <w:p>
      <w:pPr>
        <w:pStyle w:val="Heading2"/>
      </w:pPr>
      <w:r>
        <w:t xml:space="preserve">Outline</w:t>
      </w:r>
    </w:p>
    <w:p>
      <w:pPr>
        <w:numPr>
          <w:ilvl w:val="0"/>
          <w:numId w:val="1005"/>
        </w:numPr>
      </w:pPr>
      <w:r>
        <w:t xml:space="preserve">Part 1: Background and Setup (20-25 minutes)</w:t>
      </w:r>
    </w:p>
    <w:p>
      <w:pPr>
        <w:numPr>
          <w:ilvl w:val="0"/>
          <w:numId w:val="1005"/>
        </w:numPr>
      </w:pPr>
      <w:r>
        <w:t xml:space="preserve">Part 2: Basic Pedigree Construction (20-25 minutes)</w:t>
      </w:r>
    </w:p>
    <w:p>
      <w:pPr>
        <w:numPr>
          <w:ilvl w:val="0"/>
          <w:numId w:val="1005"/>
        </w:numPr>
      </w:pPr>
      <w:r>
        <w:t xml:space="preserve">Part 3: Adding Diagnostic Information (15 minutes)</w:t>
      </w:r>
    </w:p>
    <w:p>
      <w:pPr>
        <w:numPr>
          <w:ilvl w:val="0"/>
          <w:numId w:val="1005"/>
        </w:numPr>
      </w:pPr>
      <w:r>
        <w:t xml:space="preserve">Part 4: Genotype Mapping and Analysis (30-40 minutes)</w:t>
      </w:r>
    </w:p>
    <w:bookmarkStart w:id="56" w:name="refs"/>
    <w:bookmarkStart w:id="55" w:name="ref-Bennett2022"/>
    <w:p>
      <w:pPr>
        <w:pStyle w:val="Bibliography"/>
      </w:pPr>
      <w:r>
        <w:t xml:space="preserve">[1]</w:t>
      </w:r>
      <w:r>
        <w:t xml:space="preserve"> </w:t>
      </w:r>
      <w:r>
        <w:t xml:space="preserve">	</w:t>
      </w:r>
      <w:r>
        <w:t xml:space="preserve">R. L. Bennett, K. S. French, R. G. Resta, and J. Austin,</w:t>
      </w:r>
      <w:r>
        <w:t xml:space="preserve"> </w:t>
      </w:r>
      <w:r>
        <w:t xml:space="preserve">“Practice resource-focused revision: Standardized pedigree nomenclature update centered on sex and gender inclusivity: A practice resource of the national society of genetic counselors,”</w:t>
      </w:r>
      <w:r>
        <w:t xml:space="preserve"> </w:t>
      </w:r>
      <w:r>
        <w:rPr>
          <w:i/>
          <w:iCs/>
        </w:rPr>
        <w:t xml:space="preserve">Journal of Genetic Counseling</w:t>
      </w:r>
      <w:r>
        <w:t xml:space="preserve">, vol. 31, no. 6, pp. 1238–1248, 2022, doi:</w:t>
      </w:r>
      <w:r>
        <w:t xml:space="preserve"> </w:t>
      </w:r>
      <w:hyperlink r:id="rId53">
        <w:r>
          <w:rPr>
            <w:rStyle w:val="Hyperlink"/>
          </w:rPr>
          <w:t xml:space="preserve">https://doi.org/10.1002/jgc4.1621</w:t>
        </w:r>
      </w:hyperlink>
      <w:r>
        <w:t xml:space="preserve">. Available:</w:t>
      </w:r>
      <w:r>
        <w:t xml:space="preserve"> </w:t>
      </w:r>
      <w:hyperlink r:id="rId54">
        <w:r>
          <w:rPr>
            <w:rStyle w:val="Hyperlink"/>
          </w:rPr>
          <w:t xml:space="preserve">https://onlinelibrary.wiley.com/doi/abs/10.1002/jgc4.1621</w:t>
        </w:r>
      </w:hyperlink>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3" Target="https://docs.google.com/document/d/1kPMygksOgVh5n7UUkETU4vX1TCekbQWA/edit?usp=sharing" TargetMode="External" /><Relationship Type="http://schemas.openxmlformats.org/officeDocument/2006/relationships/hyperlink" Id="rId42" Target="https://docs.google.com/presentation/d/1dhP4CeUIJAqy3z7mKxuFzk8b8LhLrPBPHb1bpYpbk3c/edit?usp=sharing" TargetMode="External" /><Relationship Type="http://schemas.openxmlformats.org/officeDocument/2006/relationships/hyperlink" Id="rId53" Target="https://doi.org/10.1002/jgc4.1621"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54" Target="https://onlinelibrary.wiley.com/doi/abs/10.1002/jgc4.1621" TargetMode="External" /><Relationship Type="http://schemas.openxmlformats.org/officeDocument/2006/relationships/hyperlink" Id="rId46"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2026-08-26T15:06:48Z</dcterms:created>
  <dcterms:modified xsi:type="dcterms:W3CDTF">2026-08-26T15:06:48Z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2026-08-26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