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DNA Forensics Prework</w:t>
      </w:r>
    </w:p>
    <w:p>
      <w:pPr>
        <w:pStyle w:val="Date"/>
      </w:pPr>
      <w:r>
        <w:t xml:space="preserve">2026-10-05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Your Knowledge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1"/>
              </w:numPr>
            </w:pPr>
            <w:r>
              <w:t xml:space="preserve">Why is DNA barcoding useful for the herbal medicine investigation case study?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What are some potential negative biological consequences of taking an herbal medication that is mislabeled?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Why is DNA barcoding useful for the suspected parrot smuggling case study?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What are some potential negative biological consequences of smuggling wildlife out of Brazil?</w:t>
            </w:r>
          </w:p>
          <w:p/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DNA Forensics Prework</dc:title>
  <dc:creator/>
  <cp:keywords/>
  <dcterms:created xsi:type="dcterms:W3CDTF">2026-10-05T17:20:44Z</dcterms:created>
  <dcterms:modified xsi:type="dcterms:W3CDTF">2026-10-05T17:20:44Z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../book.bib</vt:lpwstr>
  </property>
  <property fmtid="{D5CDD505-2E9C-101B-9397-08002B2CF9AE}" pid="4" name="csl">
    <vt:lpwstr>../resources/ieee-with-url.csl</vt:lpwstr>
  </property>
  <property fmtid="{D5CDD505-2E9C-101B-9397-08002B2CF9AE}" pid="5" name="date">
    <vt:lpwstr>2026-10-05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