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DNA Barcoding</w:t>
      </w:r>
    </w:p>
    <w:p>
      <w:pPr>
        <w:pStyle w:val="Date"/>
      </w:pPr>
      <w:r>
        <w:t xml:space="preserve">2026-06-03</w:t>
      </w:r>
    </w:p>
    <w:bookmarkStart w:id="21" w:name="overview"/>
    <w:p>
      <w:pPr>
        <w:pStyle w:val="Heading2"/>
      </w:pPr>
      <w:r>
        <w:t xml:space="preserve">Overview</w:t>
      </w:r>
    </w:p>
    <w:p>
      <w:pPr>
        <w:pStyle w:val="FirstParagraph"/>
      </w:pPr>
      <w:r>
        <w:t xml:space="preserve">This activity explores forensic uses of DNA barcoding and DNA reference datasets. Students will walk through using online genomic reference databases and interpret their results within the framework of a forensic case study.</w:t>
      </w:r>
    </w:p>
    <w:p>
      <w:pPr>
        <w:pStyle w:val="BodyText"/>
      </w:pPr>
      <w:r>
        <w:rPr>
          <w:b/>
          <w:bCs/>
        </w:rPr>
        <w:t xml:space="preserve">Duration:</w:t>
      </w:r>
      <w:r>
        <w:t xml:space="preserve"> </w:t>
      </w:r>
      <w:r>
        <w:t xml:space="preserve">Approximately 1 hour (</w:t>
      </w:r>
      <w:hyperlink r:id="rId20">
        <w:r>
          <w:rPr>
            <w:rStyle w:val="Hyperlink"/>
          </w:rPr>
          <w:t xml:space="preserve">help us improve this estimate!</w:t>
        </w:r>
      </w:hyperlink>
      <w:r>
        <w:t xml:space="preserve">)</w:t>
      </w:r>
    </w:p>
    <w:bookmarkEnd w:id="21"/>
    <w:bookmarkStart w:id="22" w:name="learning-objectives"/>
    <w:p>
      <w:pPr>
        <w:pStyle w:val="Heading2"/>
      </w:pPr>
      <w:r>
        <w:t xml:space="preserve">Learning Objectives</w:t>
      </w:r>
    </w:p>
    <w:p>
      <w:pPr>
        <w:numPr>
          <w:ilvl w:val="0"/>
          <w:numId w:val="1001"/>
        </w:numPr>
      </w:pPr>
      <w:r>
        <w:t xml:space="preserve">Use online tools to compare sequence in fasta format to DNA barcoding reference databases.</w:t>
      </w:r>
    </w:p>
    <w:p>
      <w:pPr>
        <w:numPr>
          <w:ilvl w:val="0"/>
          <w:numId w:val="1001"/>
        </w:numPr>
      </w:pPr>
      <w:r>
        <w:t xml:space="preserve">Explore species identification via DNA barcoding.</w:t>
      </w:r>
    </w:p>
    <w:p>
      <w:pPr>
        <w:numPr>
          <w:ilvl w:val="0"/>
          <w:numId w:val="1001"/>
        </w:numPr>
      </w:pPr>
      <w:r>
        <w:t xml:space="preserve">Interpret DNA barcoding results within the framework of a forensic DNA investigation.</w:t>
      </w:r>
    </w:p>
    <w:bookmarkEnd w:id="22"/>
    <w:bookmarkStart w:id="23" w:name="prerequisites"/>
    <w:p>
      <w:pPr>
        <w:pStyle w:val="Heading2"/>
      </w:pPr>
      <w:r>
        <w:t xml:space="preserve">Prerequisites</w:t>
      </w:r>
    </w:p>
    <w:p>
      <w:pPr>
        <w:pStyle w:val="FirstParagraph"/>
      </w:pPr>
      <w:r>
        <w:t xml:space="preserve">Students will benefit from a basic understanding of genome organization and taxonomic classification, as well as some awareness of PCR and genomic sequencing methods. We suggest this activity could accompany lectures that discuss the genome or PCR methods.</w:t>
      </w:r>
    </w:p>
    <w:bookmarkEnd w:id="23"/>
    <w:bookmarkStart w:id="30"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0">
              <w:r>
                <w:rPr>
                  <w:rStyle w:val="Hyperlink"/>
                </w:rPr>
                <w:t xml:space="preserve">Instructor survey</w:t>
              </w:r>
            </w:hyperlink>
          </w:p>
          <w:p>
            <w:pPr>
              <w:pStyle w:val="BodyText"/>
            </w:pPr>
            <w:hyperlink r:id="rId27">
              <w:r>
                <w:rPr>
                  <w:rStyle w:val="Hyperlink"/>
                </w:rPr>
                <w:t xml:space="preserve">Student pre-activity survey</w:t>
              </w:r>
            </w:hyperlink>
          </w:p>
          <w:p>
            <w:pPr>
              <w:pStyle w:val="BodyText"/>
            </w:pPr>
            <w:pPr>
              <w:spacing w:after="16"/>
            </w:pPr>
            <w:hyperlink r:id="rId28">
              <w:r>
                <w:rPr>
                  <w:rStyle w:val="Hyperlink"/>
                </w:rPr>
                <w:t xml:space="preserve">Student post-activity survey</w:t>
              </w:r>
            </w:hyperlink>
          </w:p>
          <w:p/>
        </w:tc>
      </w:tr>
    </w:tbl>
    <w:p>
      <w:pPr>
        <w:pStyle w:val="BodyText"/>
      </w:pPr>
      <w:r>
        <w:t xml:space="preserve">You can view our IRB approval</w:t>
      </w:r>
      <w:r>
        <w:t xml:space="preserve"> </w:t>
      </w:r>
      <w:hyperlink r:id="rId29">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0"/>
    <w:bookmarkStart w:id="38" w:name="materials"/>
    <w:p>
      <w:pPr>
        <w:pStyle w:val="Heading2"/>
      </w:pPr>
      <w:r>
        <w:t xml:space="preserve">Materials</w:t>
      </w:r>
    </w:p>
    <w:bookmarkStart w:id="36"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1">
        <w:r>
          <w:rPr>
            <w:rStyle w:val="Hyperlink"/>
          </w:rPr>
          <w:t xml:space="preserve">Web page</w:t>
        </w:r>
      </w:hyperlink>
    </w:p>
    <w:p>
      <w:pPr>
        <w:pStyle w:val="Compact"/>
        <w:numPr>
          <w:ilvl w:val="0"/>
          <w:numId w:val="1002"/>
        </w:numPr>
      </w:pPr>
      <w:hyperlink r:id="rId32">
        <w:r>
          <w:rPr>
            <w:rStyle w:val="Hyperlink"/>
          </w:rPr>
          <w:t xml:space="preserve">Word (docx)</w:t>
        </w:r>
      </w:hyperlink>
    </w:p>
    <w:p>
      <w:pPr>
        <w:pStyle w:val="Compact"/>
        <w:numPr>
          <w:ilvl w:val="0"/>
          <w:numId w:val="1002"/>
        </w:numPr>
      </w:pPr>
      <w:r>
        <w:t xml:space="preserve">Google Doc</w:t>
      </w:r>
    </w:p>
    <w:p>
      <w:pPr>
        <w:pStyle w:val="FirstParagraph"/>
      </w:pPr>
      <w:r>
        <w:t xml:space="preserve">Students will need:</w:t>
      </w:r>
    </w:p>
    <w:p>
      <w:pPr>
        <w:pStyle w:val="Compact"/>
        <w:numPr>
          <w:ilvl w:val="0"/>
          <w:numId w:val="1003"/>
        </w:numPr>
      </w:pPr>
      <w:r>
        <w:t xml:space="preserve">A device that accesses the internet.</w:t>
      </w:r>
    </w:p>
    <w:p>
      <w:pPr>
        <w:pStyle w:val="Compact"/>
        <w:numPr>
          <w:ilvl w:val="0"/>
          <w:numId w:val="1003"/>
        </w:numPr>
      </w:pPr>
      <w:r>
        <w:t xml:space="preserve">Access to the BOLD website:</w:t>
      </w:r>
      <w:r>
        <w:t xml:space="preserve"> </w:t>
      </w:r>
      <w:hyperlink r:id="rId33">
        <w:r>
          <w:rPr>
            <w:rStyle w:val="Hyperlink"/>
          </w:rPr>
          <w:t xml:space="preserve">https://id.boldsystems.org/</w:t>
        </w:r>
      </w:hyperlink>
      <w:r>
        <w:t xml:space="preserve">.</w:t>
      </w:r>
    </w:p>
    <w:p>
      <w:pPr>
        <w:pStyle w:val="Compact"/>
        <w:numPr>
          <w:ilvl w:val="0"/>
          <w:numId w:val="1003"/>
        </w:numPr>
      </w:pPr>
      <w:r>
        <w:t xml:space="preserve">Access to BLASTn on the NCBI website:</w:t>
      </w:r>
      <w:r>
        <w:t xml:space="preserve"> </w:t>
      </w:r>
      <w:hyperlink r:id="rId34">
        <w:r>
          <w:rPr>
            <w:rStyle w:val="Hyperlink"/>
          </w:rPr>
          <w:t xml:space="preserve">https://blast.ncbi.nlm.nih.gov/Blast.cgi</w:t>
        </w:r>
      </w:hyperlink>
    </w:p>
    <w:p>
      <w:pPr>
        <w:pStyle w:val="Compact"/>
        <w:numPr>
          <w:ilvl w:val="0"/>
          <w:numId w:val="1003"/>
        </w:numPr>
      </w:pPr>
      <w:r>
        <w:t xml:space="preserve">Ability to download toy data hosted at:</w:t>
      </w:r>
      <w:r>
        <w:t xml:space="preserve"> </w:t>
      </w:r>
      <w:hyperlink r:id="rId35">
        <w:r>
          <w:rPr>
            <w:rStyle w:val="Hyperlink"/>
          </w:rPr>
          <w:t xml:space="preserve">https://genomicseducation.org/data/barcoding_devils_claw_rbcL.fasta</w:t>
        </w:r>
      </w:hyperlink>
    </w:p>
    <w:bookmarkEnd w:id="36"/>
    <w:bookmarkStart w:id="37" w:name="instructor-materials"/>
    <w:p>
      <w:pPr>
        <w:pStyle w:val="Heading3"/>
      </w:pPr>
      <w:r>
        <w:t xml:space="preserve">Instructor Materials</w:t>
      </w:r>
    </w:p>
    <w:bookmarkEnd w:id="37"/>
    <w:bookmarkEnd w:id="38"/>
    <w:bookmarkStart w:id="39" w:name="scientific-topics"/>
    <w:p>
      <w:pPr>
        <w:pStyle w:val="Heading2"/>
      </w:pPr>
      <w:r>
        <w:t xml:space="preserve">Scientific Topics</w:t>
      </w:r>
    </w:p>
    <w:bookmarkEnd w:id="39"/>
    <w:bookmarkStart w:id="40" w:name="outline"/>
    <w:p>
      <w:pPr>
        <w:pStyle w:val="Heading2"/>
      </w:pPr>
      <w:r>
        <w:t xml:space="preserve">Outline</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hyperlink" Id="rId34" Target="https://blast.ncbi.nlm.nih.gov/Blast.cgi"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20" Target="https://forms.gle/pgvLDMChG19pGjCq7" TargetMode="External" /><Relationship Type="http://schemas.openxmlformats.org/officeDocument/2006/relationships/hyperlink" Id="rId35" Target="https://genomicseducation.org/data/barcoding_devils_claw_rbcL.fasta" TargetMode="External" /><Relationship Type="http://schemas.openxmlformats.org/officeDocument/2006/relationships/hyperlink" Id="rId31" Target="https://genomicseducation.org/module/dna_barcoding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raw/main/docs/docx/module/dna_barcoding_student_guide.docx" TargetMode="External" /><Relationship Type="http://schemas.openxmlformats.org/officeDocument/2006/relationships/hyperlink" Id="rId33" Target="https://id.boldsystems.org/" TargetMode="External" /></Relationships>
</file>

<file path=word/_rels/footnotes.xml.rels><?xml version="1.0" encoding="UTF-8"?><Relationships xmlns="http://schemas.openxmlformats.org/package/2006/relationships"><Relationship Type="http://schemas.openxmlformats.org/officeDocument/2006/relationships/hyperlink" Id="rId34" Target="https://blast.ncbi.nlm.nih.gov/Blast.cgi"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20" Target="https://forms.gle/pgvLDMChG19pGjCq7" TargetMode="External" /><Relationship Type="http://schemas.openxmlformats.org/officeDocument/2006/relationships/hyperlink" Id="rId35" Target="https://genomicseducation.org/data/barcoding_devils_claw_rbcL.fasta" TargetMode="External" /><Relationship Type="http://schemas.openxmlformats.org/officeDocument/2006/relationships/hyperlink" Id="rId31" Target="https://genomicseducation.org/module/dna_barcoding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raw/main/docs/docx/module/dna_barcoding_student_guide.docx" TargetMode="External" /><Relationship Type="http://schemas.openxmlformats.org/officeDocument/2006/relationships/hyperlink" Id="rId33" Target="https://id.boldsystem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DNA Barcoding</dc:title>
  <dc:creator/>
  <cp:keywords/>
  <dcterms:created xsi:type="dcterms:W3CDTF">2026-06-03T04:53:22Z</dcterms:created>
  <dcterms:modified xsi:type="dcterms:W3CDTF">2026-06-03T04:53:22Z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2026-06-03</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