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DNA Forensics</w:t>
      </w:r>
    </w:p>
    <w:p>
      <w:pPr>
        <w:pStyle w:val="Date"/>
      </w:pPr>
      <w:r>
        <w:t xml:space="preserve">2026-10-01</w:t>
      </w:r>
    </w:p>
    <w:bookmarkStart w:id="21" w:name="overview"/>
    <w:p>
      <w:pPr>
        <w:pStyle w:val="Heading2"/>
      </w:pPr>
      <w:r>
        <w:t xml:space="preserve">Overview</w:t>
      </w:r>
    </w:p>
    <w:p>
      <w:pPr>
        <w:pStyle w:val="FirstParagraph"/>
      </w:pPr>
      <w:r>
        <w:t xml:space="preserve">This activity explores forensic uses of DNA barcoding. Students will read about two real-life cases using DNA barcoding and consider the legal and biological consequences.</w:t>
      </w:r>
    </w:p>
    <w:p>
      <w:pPr>
        <w:pStyle w:val="BodyText"/>
      </w:pPr>
      <w:r>
        <w:rPr>
          <w:b/>
          <w:bCs/>
        </w:rPr>
        <w:t xml:space="preserve">Duration:</w:t>
      </w:r>
      <w:r>
        <w:t xml:space="preserve"> </w:t>
      </w:r>
      <w:r>
        <w:t xml:space="preserve">Approximately 30 minutes (</w:t>
      </w:r>
      <w:hyperlink r:id="rId20">
        <w:r>
          <w:rPr>
            <w:rStyle w:val="Hyperlink"/>
          </w:rPr>
          <w:t xml:space="preserve">help us improve this estimate!</w:t>
        </w:r>
      </w:hyperlink>
      <w:r>
        <w:t xml:space="preserve">)</w:t>
      </w:r>
    </w:p>
    <w:bookmarkEnd w:id="21"/>
    <w:bookmarkStart w:id="22" w:name="learning-objectives"/>
    <w:p>
      <w:pPr>
        <w:pStyle w:val="Heading2"/>
      </w:pPr>
      <w:r>
        <w:t xml:space="preserve">Learning Objectives</w:t>
      </w:r>
    </w:p>
    <w:bookmarkEnd w:id="22"/>
    <w:bookmarkStart w:id="23" w:name="prerequisites"/>
    <w:p>
      <w:pPr>
        <w:pStyle w:val="Heading2"/>
      </w:pPr>
      <w:r>
        <w:t xml:space="preserve">Prerequisites</w:t>
      </w:r>
    </w:p>
    <w:p>
      <w:pPr>
        <w:pStyle w:val="FirstParagraph"/>
      </w:pPr>
      <w:r>
        <w:t xml:space="preserve">Students will benefit from a basic understanding of genome organization and taxonomic classification, as well as some awareness of PCR and genomic sequencing methods. We suggest this activity could accompany lectures that discuss the genome or PCR methods.</w:t>
      </w:r>
    </w:p>
    <w:bookmarkEnd w:id="23"/>
    <w:bookmarkStart w:id="30"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0">
              <w:r>
                <w:rPr>
                  <w:rStyle w:val="Hyperlink"/>
                </w:rPr>
                <w:t xml:space="preserve">Instructor survey</w:t>
              </w:r>
            </w:hyperlink>
          </w:p>
          <w:p>
            <w:pPr>
              <w:pStyle w:val="BodyText"/>
            </w:pPr>
            <w:hyperlink r:id="rId27">
              <w:r>
                <w:rPr>
                  <w:rStyle w:val="Hyperlink"/>
                </w:rPr>
                <w:t xml:space="preserve">Student pre-activity survey</w:t>
              </w:r>
            </w:hyperlink>
          </w:p>
          <w:p>
            <w:pPr>
              <w:pStyle w:val="BodyText"/>
            </w:pPr>
            <w:pPr>
              <w:spacing w:after="16"/>
            </w:pPr>
            <w:hyperlink r:id="rId28">
              <w:r>
                <w:rPr>
                  <w:rStyle w:val="Hyperlink"/>
                </w:rPr>
                <w:t xml:space="preserve">Student post-activity survey</w:t>
              </w:r>
            </w:hyperlink>
          </w:p>
          <w:p/>
        </w:tc>
      </w:tr>
    </w:tbl>
    <w:p>
      <w:pPr>
        <w:pStyle w:val="BodyText"/>
      </w:pPr>
      <w:r>
        <w:t xml:space="preserve">You can view our IRB approval</w:t>
      </w:r>
      <w:r>
        <w:t xml:space="preserve"> </w:t>
      </w:r>
      <w:hyperlink r:id="rId29">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0"/>
    <w:bookmarkStart w:id="35" w:name="materials"/>
    <w:p>
      <w:pPr>
        <w:pStyle w:val="Heading2"/>
      </w:pPr>
      <w:r>
        <w:t xml:space="preserve">Materials</w:t>
      </w:r>
    </w:p>
    <w:bookmarkStart w:id="32"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1"/>
        </w:numPr>
      </w:pPr>
      <w:hyperlink r:id="rId31">
        <w:r>
          <w:rPr>
            <w:rStyle w:val="Hyperlink"/>
          </w:rPr>
          <w:t xml:space="preserve">Web page</w:t>
        </w:r>
      </w:hyperlink>
    </w:p>
    <w:p>
      <w:pPr>
        <w:pStyle w:val="Compact"/>
        <w:numPr>
          <w:ilvl w:val="0"/>
          <w:numId w:val="1001"/>
        </w:numPr>
      </w:pPr>
      <w:r>
        <w:t xml:space="preserve">Word (docx)</w:t>
      </w:r>
    </w:p>
    <w:p>
      <w:pPr>
        <w:pStyle w:val="Compact"/>
        <w:numPr>
          <w:ilvl w:val="0"/>
          <w:numId w:val="1001"/>
        </w:numPr>
      </w:pPr>
      <w:r>
        <w:t xml:space="preserve">Google Doc</w:t>
      </w:r>
    </w:p>
    <w:p>
      <w:pPr>
        <w:pStyle w:val="FirstParagraph"/>
      </w:pPr>
      <w:r>
        <w:t xml:space="preserve">Students do not need any outside material.</w:t>
      </w:r>
    </w:p>
    <w:bookmarkEnd w:id="32"/>
    <w:bookmarkStart w:id="34" w:name="instructor-materials"/>
    <w:p>
      <w:pPr>
        <w:pStyle w:val="Heading3"/>
      </w:pPr>
      <w:r>
        <w:t xml:space="preserve">Instructor Materials</w:t>
      </w:r>
    </w:p>
    <w:p>
      <w:pPr>
        <w:pStyle w:val="FirstParagraph"/>
      </w:pPr>
      <w:r>
        <w:t xml:space="preserve">This activity can be used as the prework for the</w:t>
      </w:r>
      <w:r>
        <w:t xml:space="preserve"> </w:t>
      </w:r>
      <w:hyperlink r:id="rId33">
        <w:r>
          <w:rPr>
            <w:rStyle w:val="Hyperlink"/>
          </w:rPr>
          <w:t xml:space="preserve">DNA Barcoding activity</w:t>
        </w:r>
      </w:hyperlink>
    </w:p>
    <w:bookmarkEnd w:id="34"/>
    <w:bookmarkEnd w:id="35"/>
    <w:bookmarkStart w:id="36" w:name="scientific-topics"/>
    <w:p>
      <w:pPr>
        <w:pStyle w:val="Heading2"/>
      </w:pPr>
      <w:r>
        <w:t xml:space="preserve">Scientific Topics</w:t>
      </w:r>
    </w:p>
    <w:bookmarkEnd w:id="36"/>
    <w:bookmarkStart w:id="37" w:name="outline"/>
    <w:p>
      <w:pPr>
        <w:pStyle w:val="Heading2"/>
      </w:pPr>
      <w:r>
        <w:t xml:space="preserve">Outline</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20" Target="https://forms.gle/pgvLDMChG19pGjCq7" TargetMode="External" /><Relationship Type="http://schemas.openxmlformats.org/officeDocument/2006/relationships/hyperlink" Id="rId33" Target="https://genomicseducation.org/module/dna_barcoding.html" TargetMode="External" /><Relationship Type="http://schemas.openxmlformats.org/officeDocument/2006/relationships/hyperlink" Id="rId31" Target="https://genomicseducation.org/module/dna_forensics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s>
</file>

<file path=word/_rels/footnotes.xml.rels><?xml version="1.0" encoding="UTF-8"?><Relationships xmlns="http://schemas.openxmlformats.org/package/2006/relationships"><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20" Target="https://forms.gle/pgvLDMChG19pGjCq7" TargetMode="External" /><Relationship Type="http://schemas.openxmlformats.org/officeDocument/2006/relationships/hyperlink" Id="rId33" Target="https://genomicseducation.org/module/dna_barcoding.html" TargetMode="External" /><Relationship Type="http://schemas.openxmlformats.org/officeDocument/2006/relationships/hyperlink" Id="rId31" Target="https://genomicseducation.org/module/dna_forensics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DNA Forensics</dc:title>
  <dc:creator/>
  <cp:keywords/>
  <dcterms:created xsi:type="dcterms:W3CDTF">2026-10-01T19:57:39Z</dcterms:created>
  <dcterms:modified xsi:type="dcterms:W3CDTF">2026-10-01T19:57:39Z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2026-10-01</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