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2026-06-01</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51" w:name="materials"/>
    <w:p>
      <w:pPr>
        <w:pStyle w:val="Heading2"/>
      </w:pPr>
      <w:r>
        <w:t xml:space="preserve">Materials</w:t>
      </w:r>
    </w:p>
    <w:bookmarkStart w:id="4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Student errors</w:t>
            </w:r>
          </w:p>
        </w:tc>
      </w:tr>
      <w:tr>
        <w:trPr>
          <w:cantSplit/>
        </w:trPr>
        <w:tc>
          <w:tcPr>
            <w:tcMar>
              <w:top w:w="108" w:type="dxa"/>
              <w:bottom w:w="108" w:type="dxa"/>
            </w:tcMar>
          </w:tcPr>
          <w:p>
            <w:pPr>
              <w:pStyle w:val="BodyText"/>
            </w:pPr>
            <w:pPr>
              <w:spacing w:before="16"/>
            </w:pPr>
            <w:r>
              <w:t xml:space="preserve">You might get some installation errors on the first step (</w:t>
            </w:r>
            <w:r>
              <w:rPr>
                <w:rStyle w:val="VerbatimChar"/>
              </w:rPr>
              <w:t xml:space="preserve">install.packages("tidyverse")</w:t>
            </w:r>
            <w:r>
              <w:t xml:space="preserve">). If this happens, restart your session and try again (</w:t>
            </w:r>
            <w:r>
              <w:t xml:space="preserve">“turn it off and on again”</w:t>
            </w:r>
            <w:r>
              <w:t xml:space="preserve">!). Sometimes Posit Cloud gets a lot of URL-based installation requests and not all of them go through. If you continue to have problems after a couple of tries, let us know.</w:t>
            </w:r>
          </w:p>
          <w:p>
            <w:pPr>
              <w:pStyle w:val="BodyText"/>
            </w:pPr>
            <w:pPr>
              <w:spacing w:after="16"/>
            </w:pPr>
            <w:r>
              <w:t xml:space="preserve">This activity mostly consists of copying code and changing it slightly. It’s easy to delete a parenthesis or comma, get an error, and not know what you did wrong. Encourage students to start over with copying and changing the code if this happens.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Messy Data</w:t>
            </w:r>
          </w:p>
        </w:tc>
      </w:tr>
      <w:tr>
        <w:trPr>
          <w:cantSplit/>
        </w:trPr>
        <w:tc>
          <w:tcPr>
            <w:tcMar>
              <w:top w:w="108" w:type="dxa"/>
              <w:bottom w:w="108" w:type="dxa"/>
            </w:tcMar>
          </w:tcPr>
          <w:p>
            <w:pPr>
              <w:pStyle w:val="BodyText"/>
            </w:pPr>
            <w:pPr>
              <w:spacing w:before="16" w:after="16"/>
            </w:pPr>
            <w:r>
              <w:t xml:space="preserve">You can also run a version of this activity with</w:t>
            </w:r>
            <w:r>
              <w:t xml:space="preserve"> </w:t>
            </w:r>
            <w:r>
              <w:t xml:space="preserve">“messy”</w:t>
            </w:r>
            <w:r>
              <w:t xml:space="preserve"> </w:t>
            </w:r>
            <w:r>
              <w:t xml:space="preserve">data from</w:t>
            </w:r>
            <w:r>
              <w:t xml:space="preserve"> </w:t>
            </w:r>
            <w:hyperlink r:id="rId47">
              <w:r>
                <w:rPr>
                  <w:rStyle w:val="Hyperlink"/>
                </w:rPr>
                <w:t xml:space="preserve">this link</w:t>
              </w:r>
            </w:hyperlink>
            <w:r>
              <w:t xml:space="preserve">. Note that the plots and correlations students calculate will be different!</w:t>
            </w:r>
          </w:p>
          <w:p/>
        </w:tc>
      </w:tr>
    </w:tbl>
    <w:bookmarkEnd w:id="48"/>
    <w:bookmarkStart w:id="50" w:name="instructor-materials"/>
    <w:p>
      <w:pPr>
        <w:pStyle w:val="Heading3"/>
      </w:pPr>
      <w:r>
        <w:t xml:space="preserve">Instructor Materials</w:t>
      </w:r>
    </w:p>
    <w:p>
      <w:pPr>
        <w:pStyle w:val="FirstParagraph"/>
      </w:pPr>
      <w:r>
        <w:t xml:space="preserve">An answer key is available</w:t>
      </w:r>
      <w:r>
        <w:t xml:space="preserve"> </w:t>
      </w:r>
      <w:hyperlink r:id="rId49">
        <w:r>
          <w:rPr>
            <w:rStyle w:val="Hyperlink"/>
          </w:rPr>
          <w:t xml:space="preserve">here</w:t>
        </w:r>
      </w:hyperlink>
      <w:r>
        <w:t xml:space="preserve">. Please message Ava Hoffman (ahoffma2 at fredhutch dot org) to get access.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2026-06-01T22:25:01Z</dcterms:created>
  <dcterms:modified xsi:type="dcterms:W3CDTF">2026-06-01T22:25:01Z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