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2026-10-01</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4"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We also have the questions only in several formats:</w:t>
      </w:r>
    </w:p>
    <w:p>
      <w:pPr>
        <w:pStyle w:val="Compact"/>
        <w:numPr>
          <w:ilvl w:val="0"/>
          <w:numId w:val="1003"/>
        </w:numPr>
      </w:pPr>
      <w:hyperlink r:id="rId37">
        <w:r>
          <w:rPr>
            <w:rStyle w:val="Hyperlink"/>
          </w:rPr>
          <w:t xml:space="preserve">Quarto (qmd)</w:t>
        </w:r>
      </w:hyperlink>
    </w:p>
    <w:p>
      <w:pPr>
        <w:pStyle w:val="Compact"/>
        <w:numPr>
          <w:ilvl w:val="0"/>
          <w:numId w:val="1003"/>
        </w:numPr>
      </w:pPr>
      <w:hyperlink r:id="rId38">
        <w:r>
          <w:rPr>
            <w:rStyle w:val="Hyperlink"/>
          </w:rPr>
          <w:t xml:space="preserve">Word (docx)</w:t>
        </w:r>
      </w:hyperlink>
    </w:p>
    <w:p>
      <w:pPr>
        <w:pStyle w:val="Compact"/>
        <w:numPr>
          <w:ilvl w:val="0"/>
          <w:numId w:val="1003"/>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uses URLs</w:t>
            </w:r>
          </w:p>
        </w:tc>
      </w:tr>
      <w:tr>
        <w:trPr>
          <w:cantSplit/>
        </w:trPr>
        <w:tc>
          <w:tcPr>
            <w:tcMar>
              <w:top w:w="108" w:type="dxa"/>
              <w:bottom w:w="108" w:type="dxa"/>
            </w:tcMar>
          </w:tcPr>
          <w:p>
            <w:pPr>
              <w:pStyle w:val="BodyText"/>
            </w:pPr>
            <w:pPr>
              <w:spacing w:before="16" w:after="16"/>
            </w:pPr>
            <w:r>
              <w:t xml:space="preserve">We suggest confirming links to chatbots are still active prior to running this activity.</w:t>
            </w:r>
          </w:p>
          <w:p/>
        </w:tc>
      </w:tr>
    </w:tbl>
    <w:bookmarkEnd w:id="42"/>
    <w:bookmarkStart w:id="43"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3"/>
    <w:bookmarkEnd w:id="44"/>
    <w:bookmarkStart w:id="46" w:name="scientific-topics"/>
    <w:p>
      <w:pPr>
        <w:pStyle w:val="Heading2"/>
      </w:pPr>
      <w:r>
        <w:t xml:space="preserve">Scientific Topics</w:t>
      </w:r>
    </w:p>
    <w:p>
      <w:pPr>
        <w:pStyle w:val="FirstParagraph"/>
      </w:pPr>
      <w:r>
        <w:t xml:space="preserve">Some of the questions in this activity are based on an online resource called</w:t>
      </w:r>
      <w:r>
        <w:t xml:space="preserve"> </w:t>
      </w:r>
      <w:hyperlink r:id="rId45">
        <w:r>
          <w:rPr>
            <w:rStyle w:val="Hyperlink"/>
          </w:rPr>
          <w:t xml:space="preserve">DataWISE</w:t>
        </w:r>
      </w:hyperlink>
      <w:r>
        <w:t xml:space="preserve">, produced by the National Center for Science Education. DataWISE is a tool that scaffolds key science practices and media literacy skills to guide students in critical analysis of data-based claims. We think the DataWISE worksheet is a fantastic framework/activity for science literacy and we encourage you to check it out!</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2026-10-01T18:30:15Z</dcterms:created>
  <dcterms:modified xsi:type="dcterms:W3CDTF">2026-10-01T18:30:15Z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