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11.png" ContentType="image/png"/>
  <Override PartName="/word/media/rId34.png" ContentType="image/png"/>
  <Override PartName="/word/media/rId37.png" ContentType="image/png"/>
  <Override PartName="/word/media/rId81.png" ContentType="image/png"/>
  <Override PartName="/word/media/rId184.png" ContentType="image/png"/>
  <Override PartName="/word/media/rId90.png" ContentType="image/png"/>
  <Override PartName="/word/media/rId99.png" ContentType="image/png"/>
  <Override PartName="/word/media/rId102.png" ContentType="image/png"/>
  <Override PartName="/word/media/rId119.png" ContentType="image/png"/>
  <Override PartName="/word/media/rId122.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93.png" ContentType="image/png"/>
  <Override PartName="/word/media/rId43.png" ContentType="image/png"/>
  <Override PartName="/word/media/rId49.png" ContentType="image/png"/>
  <Override PartName="/word/media/rId52.png" ContentType="image/png"/>
  <Override PartName="/word/media/rId150.png" ContentType="image/png"/>
  <Override PartName="/word/media/rId111.png" ContentType="image/png"/>
  <Override PartName="/word/media/rId114.png" ContentType="image/png"/>
  <Override PartName="/word/media/rId105.png" ContentType="image/png"/>
  <Override PartName="/word/media/rId108.png" ContentType="image/png"/>
  <Override PartName="/word/media/rId250.png" ContentType="image/png"/>
  <Override PartName="/word/media/rId25.png" ContentType="image/png"/>
  <Override PartName="/word/media/rId158.png" ContentType="image/png"/>
  <Override PartName="/word/media/rId217.png" ContentType="image/png"/>
  <Override PartName="/word/media/rId46.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55.png" ContentType="image/png"/>
  <Override PartName="/word/media/rId96.png" ContentType="image/png"/>
  <Override PartName="/word/media/rId164.png" ContentType="image/png"/>
  <Override PartName="/word/media/rId167.png" ContentType="image/png"/>
  <Override PartName="/word/media/rId176.png" ContentType="image/png"/>
  <Override PartName="/word/media/rId173.png" ContentType="image/png"/>
  <Override PartName="/word/media/rId187.png" ContentType="image/png"/>
  <Override PartName="/word/media/rId190.png" ContentType="image/png"/>
  <Override PartName="/word/media/rId193.png" ContentType="image/png"/>
  <Override PartName="/word/media/rId208.png" ContentType="image/png"/>
  <Override PartName="/word/media/rId196.png" ContentType="image/png"/>
  <Override PartName="/word/media/rId199.png" ContentType="image/png"/>
  <Override PartName="/word/media/rId202.png" ContentType="image/png"/>
  <Override PartName="/word/media/rId161.png" ContentType="image/png"/>
  <Override PartName="/word/media/rId242.png" ContentType="image/png"/>
  <Override PartName="/word/media/rId245.png" ContentType="image/png"/>
  <Override PartName="/word/media/rId253.png" ContentType="image/png"/>
  <Override PartName="/word/media/rId224.png" ContentType="image/png"/>
  <Override PartName="/word/media/rId170.png" ContentType="image/png"/>
  <Override PartName="/word/media/rId179.png" ContentType="image/png"/>
  <Override PartName="/word/media/rId205.png" ContentType="image/png"/>
  <Override PartName="/word/media/rId214.png" ContentType="image/png"/>
  <Override PartName="/word/media/rId221.png" ContentType="image/png"/>
  <Override PartName="/word/media/rId227.png" ContentType="image/png"/>
  <Override PartName="/word/media/rId256.png" ContentType="image/png"/>
  <Override PartName="/word/media/rId259.png" ContentType="image/png"/>
  <Override PartName="/word/media/rId262.png" ContentType="image/png"/>
  <Override PartName="/word/media/rId2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2026-10-01</w:t>
      </w:r>
    </w:p>
    <w:bookmarkStart w:id="78" w:name="introduction"/>
    <w:p>
      <w:pPr>
        <w:pStyle w:val="Heading2"/>
      </w:pPr>
      <w:r>
        <w:t xml:space="preserve">Introduction</w:t>
      </w:r>
    </w:p>
    <w:p>
      <w:pPr>
        <w:pStyle w:val="FirstParagraph"/>
      </w:pPr>
      <w:r>
        <w:t xml:space="preserve">This module provides data for an independent project exploring differential expression in RNA-seq data.</w:t>
      </w:r>
    </w:p>
    <w:p>
      <w:pPr>
        <w:pStyle w:val="BodyText"/>
      </w:pPr>
      <w:r>
        <w:t xml:space="preserve">This activity will walk through differential expression analysis and use bioinformatics tools (R) to understand how gut bacteria (the</w:t>
      </w:r>
      <w:r>
        <w:t xml:space="preserve"> </w:t>
      </w:r>
      <w:r>
        <w:rPr>
          <w:i/>
          <w:iCs/>
        </w:rPr>
        <w:t xml:space="preserve">gut microbiome</w:t>
      </w:r>
      <w:r>
        <w:t xml:space="preserve">) can influence the expression of genes in the brain (the gut-brain axis). You will work with real data from a mouse RNA-seq experiment.</w:t>
      </w:r>
    </w:p>
    <w:p>
      <w:pPr>
        <w:pStyle w:val="BodyText"/>
      </w:pPr>
      <w:r>
        <w:t xml:space="preserve">The basic steps of your analysis are:</w:t>
      </w:r>
    </w:p>
    <w:p>
      <w:pPr>
        <w:numPr>
          <w:ilvl w:val="0"/>
          <w:numId w:val="1001"/>
        </w:numPr>
      </w:pPr>
      <w:r>
        <w:t xml:space="preserve">Identify mouse genes of interest for your project.</w:t>
      </w:r>
    </w:p>
    <w:p>
      <w:pPr>
        <w:numPr>
          <w:ilvl w:val="0"/>
          <w:numId w:val="1001"/>
        </w:numPr>
      </w:pPr>
      <w:r>
        <w:t xml:space="preserve">Characterize the gene expression of your genes of interest in the dataset.</w:t>
      </w:r>
    </w:p>
    <w:p>
      <w:pPr>
        <w:numPr>
          <w:ilvl w:val="0"/>
          <w:numId w:val="1001"/>
        </w:numPr>
      </w:pPr>
      <w:r>
        <w:t xml:space="preserve">Explore differential gene expression in the control vs experimental group.</w:t>
      </w:r>
    </w:p>
    <w:p>
      <w:pPr>
        <w:pStyle w:val="FirstParagraph"/>
      </w:pPr>
      <w:r>
        <w:rPr>
          <w:b/>
          <w:bCs/>
        </w:rPr>
        <w:t xml:space="preserve">There are two directions you can go with your project: you can explore how gene expression in the brain differs between control mice and mice that have had their gut bacteria changed; or, you can explore how gene expression differs between two parts of the brain (the prefrontal cortex and the striatum).</w:t>
      </w:r>
    </w:p>
    <w:bookmarkStart w:id="24" w:name="the-original-study"/>
    <w:p>
      <w:pPr>
        <w:pStyle w:val="Heading3"/>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Mice in this experiment received fecal transplants. Some mice received transplants from humans who have been diagnosed with ASD, while other mice received transplants from humans who did not have any diagnosis (control). This allowed researchers to control the composition of the gut microbiome in each mouse. They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3">
        <w:r>
          <w:rPr>
            <w:rStyle w:val="Hyperlink"/>
          </w:rPr>
          <w:t xml:space="preserve">here</w:t>
        </w:r>
      </w:hyperlink>
      <w:r>
        <w:t xml:space="preserve">.</w:t>
      </w:r>
    </w:p>
    <w:bookmarkEnd w:id="24"/>
    <w:bookmarkStart w:id="30" w:name="the-gut-brain-axis"/>
    <w:p>
      <w:pPr>
        <w:pStyle w:val="Heading3"/>
      </w:pPr>
      <w:r>
        <w:t xml:space="preserve">The Gut-Brain Axis</w:t>
      </w:r>
    </w:p>
    <w:p>
      <w:pPr>
        <w:pStyle w:val="FirstParagraph"/>
      </w:pPr>
      <w:r>
        <w:t xml:space="preserve">The</w:t>
      </w:r>
      <w:r>
        <w:t xml:space="preserve"> </w:t>
      </w:r>
      <w:r>
        <w:rPr>
          <w:i/>
          <w:iCs/>
        </w:rPr>
        <w:t xml:space="preserve">gut-brain axis</w:t>
      </w:r>
      <w:r>
        <w:t xml:space="preserve"> </w:t>
      </w:r>
      <w:r>
        <w:t xml:space="preserve">is the term used for the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 through formation of microbial-derived metabolites like tryptophan, short-chain fatty acids, or secondary bile acids.</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miniCURE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Remodeling of the nervous system via the gut microbiome is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either neurodevelopmental or neurodegenerative diseases. Instead, any symptoms or changes in the brain they show are the result of microbes introduced to their gut via fecal transplant.</w:t>
      </w:r>
      <w:r>
        <w:t xml:space="preserve"> </w:t>
      </w:r>
      <w:r>
        <w:rPr>
          <w:b/>
          <w:bCs/>
        </w:rPr>
        <w:t xml:space="preserve">This dataset gives you the opportunity to study possible effects of the gut-brain axis firsthand.</w:t>
      </w:r>
    </w:p>
    <w:bookmarkEnd w:id="30"/>
    <w:bookmarkStart w:id="76" w:name="deciding-on-your-research-question"/>
    <w:p>
      <w:pPr>
        <w:pStyle w:val="Heading3"/>
      </w:pPr>
      <w:r>
        <w:t xml:space="preserve">Deciding on your research question</w:t>
      </w:r>
    </w:p>
    <w:p>
      <w:pPr>
        <w:pStyle w:val="FirstParagraph"/>
      </w:pPr>
      <w:r>
        <w:t xml:space="preserve">The data for this activity includes gene expression data from two different brain regions (striatum and prefrontal cortex) in mice. Additionally, there are two different types of mice. Some of the mice are an Autism Spectrum Disorder-type (see below for details), while others are control-type.</w:t>
      </w:r>
    </w:p>
    <w:p>
      <w:pPr>
        <w:pStyle w:val="BodyText"/>
      </w:pPr>
      <w:r>
        <w:t xml:space="preserve">Before you start working with the dataset, you will need to make some decisions about the questions you want to answer.</w:t>
      </w:r>
    </w:p>
    <w:p>
      <w:pPr>
        <w:pStyle w:val="BodyText"/>
      </w:pPr>
      <w:r>
        <w:rPr>
          <w:b/>
          <w:bCs/>
        </w:rPr>
        <w:t xml:space="preserve">Are you interested in exploring gene expression differences between two regions of the mouse brain, without focusing on the gut-brain axis? 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caution.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miniCURE_guide_files/figure-docx//1vikcyml6uw-_DaC1yFpS-UWoWNEGxFukMB_eCi42BqY_g33d1434cdd1_12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38" name="Picture"/>
                  <a:graphic>
                    <a:graphicData uri="http://schemas.openxmlformats.org/drawingml/2006/picture">
                      <pic:pic>
                        <pic:nvPicPr>
                          <pic:cNvPr descr="mouse_gutbrain_de_miniCURE_guide_files/figure-docx//1vikcyml6uw-_DaC1yFpS-UWoWNEGxFukMB_eCi42BqY_g33d1434cdd1_12_10.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0">
              <w:r>
                <w:rPr>
                  <w:rStyle w:val="Hyperlink"/>
                </w:rPr>
                <w:t xml:space="preserve">here</w:t>
              </w:r>
            </w:hyperlink>
            <w:r>
              <w:t xml:space="preserve">.</w:t>
            </w:r>
          </w:p>
          <w:p/>
        </w:tc>
      </w:tr>
    </w:tbl>
    <w:p>
      <w:pPr>
        <w:pStyle w:val="BodyText"/>
      </w:pPr>
      <w:r>
        <w:rPr>
          <w:b/>
          <w:bCs/>
        </w:rPr>
        <w:t xml:space="preserve">Are you interested in exploring neurodevelopmental disorders?</w:t>
      </w:r>
      <w:r>
        <w:t xml:space="preserve"> </w:t>
      </w:r>
      <w:r>
        <w:t xml:space="preserve">These are disorders that are the result of altered brain development. Although this dataset was created using</w:t>
      </w:r>
      <w:r>
        <w:t xml:space="preserve"> </w:t>
      </w:r>
      <w:r>
        <w:t xml:space="preserve">“ASD-type”</w:t>
      </w:r>
      <w:r>
        <w:t xml:space="preserve"> </w:t>
      </w:r>
      <w:r>
        <w:t xml:space="preserve">mice, many neurological disorders have shared symptoms and probably share a biological basis.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caution.png" id="42"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Neurodevelopmental Disorders</w:t>
            </w:r>
          </w:p>
        </w:tc>
      </w:tr>
      <w:tr>
        <w:trPr>
          <w:cantSplit/>
        </w:trPr>
        <w:tc>
          <w:tcPr>
            <w:tcMar>
              <w:top w:w="108" w:type="dxa"/>
              <w:bottom w:w="108" w:type="dxa"/>
            </w:tcMar>
          </w:tcPr>
          <w:p>
            <w:pPr>
              <w:pStyle w:val="BodyText"/>
            </w:pPr>
            <w:pPr>
              <w:spacing w:before="16"/>
            </w:pPr>
            <w:r>
              <w:t xml:space="preserve">Although the following disorders can be diagnosed at any age, they are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44" name="Picture"/>
                  <a:graphic>
                    <a:graphicData uri="http://schemas.openxmlformats.org/drawingml/2006/picture">
                      <pic:pic>
                        <pic:nvPicPr>
                          <pic:cNvPr descr="mouse_gutbrain_de_miniCURE_guide_files/figure-docx//1vikcyml6uw-_DaC1yFpS-UWoWNEGxFukMB_eCi42BqY_g344ce1a0afa_0_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neurodevelopmental disorders - you may know of others that are not included! Any of these could be a good starting point for your research question.</w:t>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47" name="Picture"/>
                  <a:graphic>
                    <a:graphicData uri="http://schemas.openxmlformats.org/drawingml/2006/picture">
                      <pic:pic>
                        <pic:nvPicPr>
                          <pic:cNvPr descr="mouse_gutbrain_de_miniCURE_guide_files/figure-docx//1vikcyml6uw-_DaC1yFpS-UWoWNEGxFukMB_eCi42BqY_g3707230d9af_0_0.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Attention-Deficit/Hyperactivity Disorder (ADHD)</w:t>
            </w:r>
            <w:r>
              <w:t xml:space="preserve"> </w:t>
            </w:r>
            <w:r>
              <w:t xml:space="preserve">is characterized by difficulties with inattention, hyperactivity, and impulsivity. Individuals may show predominantly inattention symptoms (predominantly inattentive ADHD), predominantly hyperactivity and impulsivity symptoms (predominantly hyperactive ADHD), or a combination of all (combined type ADHD). Some proposed ADHD risk genes are SKI, ZNF544, ST3GAL3, and PEX2. Additionally, researchers believe alterations to the prefrontal cortex and the dopaminergic system are major contributing factors for ADHD.</w:t>
            </w:r>
          </w:p>
          <w:p>
            <w:pPr>
              <w:pStyle w:val="BodyText"/>
            </w:pPr>
            <w:r>
              <w:drawing>
                <wp:inline>
                  <wp:extent cx="5334000" cy="3000375"/>
                  <wp:effectExtent b="0" l="0" r="0" t="0"/>
                  <wp:docPr descr="" title="" id="50" name="Picture"/>
                  <a:graphic>
                    <a:graphicData uri="http://schemas.openxmlformats.org/drawingml/2006/picture">
                      <pic:pic>
                        <pic:nvPicPr>
                          <pic:cNvPr descr="mouse_gutbrain_de_miniCURE_guide_files/figure-docx//1vikcyml6uw-_DaC1yFpS-UWoWNEGxFukMB_eCi42BqY_g344d4a4b906_0_0.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Learning Disorders (LDs)</w:t>
            </w:r>
            <w:r>
              <w:t xml:space="preserve"> </w:t>
            </w:r>
            <w:r>
              <w:t xml:space="preserve">include disorders such as dyslexia, dyscalculia, and dysgraphia. Each of these is characterized by difficulty developing a fundamental academic skill, including reading (dyslexia), math and working with numbers (dyscalculia), writing (dysgraphia), listening (auditory processing disorder), speaking (language processing disorder), or non-verbal reasoning (nonverbal learning disorder). Individuals with LDs frequently show differences neural connectivity within brain regions like the prefrontal cortex, hippocampus, and parietal lobes, which may contribute to decreased brain processing speed and executive functioning. Research also suggests that altered tryptophan metabolism is associated with LDs.</w:t>
            </w:r>
          </w:p>
          <w:p>
            <w:pPr>
              <w:pStyle w:val="BodyText"/>
            </w:pPr>
            <w:r>
              <w:drawing>
                <wp:inline>
                  <wp:extent cx="5334000" cy="3000375"/>
                  <wp:effectExtent b="0" l="0" r="0" t="0"/>
                  <wp:docPr descr="" title="" id="53" name="Picture"/>
                  <a:graphic>
                    <a:graphicData uri="http://schemas.openxmlformats.org/drawingml/2006/picture">
                      <pic:pic>
                        <pic:nvPicPr>
                          <pic:cNvPr descr="mouse_gutbrain_de_miniCURE_guide_files/figure-docx//1vikcyml6uw-_DaC1yFpS-UWoWNEGxFukMB_eCi42BqY_g344d4a4b906_0_6.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Mood Disorders</w:t>
            </w:r>
            <w:r>
              <w:t xml:space="preserve"> </w:t>
            </w:r>
            <w:r>
              <w:t xml:space="preserve">are a group of disorders in which affected individuals exhibit emotional state changes, which can include episodes of deep sadness (dysphoria), lack of feeling anything (anhedonia), and extreme happiness or euphoria (hypomania or mania). The most well-known of these disorders are Major Depressive Disorder (MDD) and Bipolar Disorder (BD). Some individuals with Schizoaffective Disorder or Schizophrenia (SCZ) also experience hallucinations and psychosis. Variation in serotonin transporter genes and dopamine receptor genes have been associated with Mood Disorders, as well as neurotransmitter alterations and brain circuit dysfunction, particularly within the prefrontal cortex and the limbic system (where the amygdala is).</w:t>
            </w:r>
          </w:p>
          <w:p>
            <w:pPr>
              <w:pStyle w:val="BodyText"/>
            </w:pPr>
            <w:r>
              <w:t xml:space="preserve">Mood disorders like depression, bipolar, and schizophrenia are not currently listed as neurodevelopmental disorders in the American Psychiatric Association’s Diagnostic and Statistical Manual of Mental Disorders, Fifth Edition (DSM-5). This is the official handbook of psychiatric disorders used for diagnosis in the field. However, researchers have suggested that mood disorders should be considered neurodevelopmental disorders due to growing evidence that neurodevelopmental pathways play a role in their development and manifestation. For the purposes of this module, we have included them in the</w:t>
            </w:r>
            <w:r>
              <w:t xml:space="preserve"> </w:t>
            </w:r>
            <w:r>
              <w:t xml:space="preserve">“Neurodevelopmental Disorder”</w:t>
            </w:r>
            <w:r>
              <w:t xml:space="preserve"> </w:t>
            </w:r>
            <w:r>
              <w:t xml:space="preserve">section.</w:t>
            </w:r>
          </w:p>
          <w:p>
            <w:pPr>
              <w:pStyle w:val="BodyText"/>
            </w:pPr>
            <w:r>
              <w:drawing>
                <wp:inline>
                  <wp:extent cx="5334000" cy="3000375"/>
                  <wp:effectExtent b="0" l="0" r="0" t="0"/>
                  <wp:docPr descr="" title="" id="56" name="Picture"/>
                  <a:graphic>
                    <a:graphicData uri="http://schemas.openxmlformats.org/drawingml/2006/picture">
                      <pic:pic>
                        <pic:nvPicPr>
                          <pic:cNvPr descr="mouse_gutbrain_de_miniCURE_guide_files/figure-docx//1vikcyml6uw-_DaC1yFpS-UWoWNEGxFukMB_eCi42BqY_g3707230d9af_0_7.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you’d like to read more about the biology of neurodevelopmental disorders, (Bertollo et al. 2025)[https://www.mdpi.com/2076-3425/15/3/307] is a great starting point!</w:t>
            </w:r>
          </w:p>
          <w:p/>
        </w:tc>
      </w:tr>
    </w:tbl>
    <w:p>
      <w:pPr>
        <w:pStyle w:val="BodyText"/>
      </w:pPr>
      <w:r>
        <w:rPr>
          <w:b/>
          <w:bCs/>
        </w:rPr>
        <w:t xml:space="preserve">Are you interested in exploring neurodegenerative disorders?</w:t>
      </w:r>
      <w:r>
        <w:t xml:space="preserve"> </w:t>
      </w:r>
      <w:r>
        <w:t xml:space="preserve">These are disorders that that occur when brain structures and systems experience degradation and may be the result of similar biological processes that cause neurodevelopmental disorders.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Neurodegenerative Disorders</w:t>
            </w:r>
          </w:p>
        </w:tc>
      </w:tr>
      <w:tr>
        <w:trPr>
          <w:cantSplit/>
        </w:trPr>
        <w:tc>
          <w:tcPr>
            <w:tcMar>
              <w:top w:w="108" w:type="dxa"/>
              <w:bottom w:w="108" w:type="dxa"/>
            </w:tcMar>
          </w:tcPr>
          <w:p>
            <w:pPr>
              <w:pStyle w:val="BodyText"/>
            </w:pPr>
            <w:pPr>
              <w:spacing w:before="16"/>
            </w:pPr>
            <w:r>
              <w:t xml:space="preserve">Neurodegenerative disorders are usually considered diseases of aging because a person’s risk of developing one of these disorders increases as they age. These disorders are the result of the breakdown and eventual loss of neurons and synaptic connections. An individual’s specific symptoms and diagnosis are the result of where in the brain or central nervous system the breakdown of neurons and synapses occur. Although the symptoms and progression may differ between diseases, the biological basis is generally one of seven things: a genetic mutation, accumulation of misfolded proteins, excitotoxicity (overstimulation of glutamate receptors, ultimately causing cell death), loss of regulatory function of noncoding RNAs (causes biological processes to break down), oxidative stress, mitochondrial dysfunction, or neuroinflammation (when the immune system attacks and damages the neurons).</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miniCURE_guide_files/figure-docx//1vikcyml6uw-_DaC1yFpS-UWoWNEGxFukMB_eCi42BqY_g3707230d9af_0_13.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neurodegenerative disorders - you may know of others that are not included! Any of these could be a good starting point for your research question. Remember that this is a</w:t>
            </w:r>
            <w:r>
              <w:t xml:space="preserve"> </w:t>
            </w:r>
            <w:r>
              <w:rPr>
                <w:i/>
                <w:iCs/>
              </w:rPr>
              <w:t xml:space="preserve">gut-brain axis</w:t>
            </w:r>
            <w:r>
              <w:t xml:space="preserve"> </w:t>
            </w:r>
            <w:r>
              <w:t xml:space="preserve">dataset, so you should verify that disorders that are not on this list do have an association with changes in the gut microbiome first.</w:t>
            </w:r>
          </w:p>
          <w:p>
            <w:pPr>
              <w:pStyle w:val="BodyText"/>
            </w:pPr>
            <w:r>
              <w:rPr>
                <w:b/>
                <w:bCs/>
              </w:rPr>
              <w:t xml:space="preserve">Alzheimer’s Disease (AD)</w:t>
            </w:r>
            <w:r>
              <w:t xml:space="preserve"> </w:t>
            </w:r>
            <w:r>
              <w:t xml:space="preserve">is the leading cause of dementia in seniors and is marked by progressive decline in memory, cognition, and behavior. It generally begins as a result of neuron loss in the hippocampus, or the region of the brain responsible for episodic memory. Beta-amyloid plaques and clumps of tau proteins are deposited on nerve cells, which prevents normal nerve impulses from traveling between neurons. This eventually leads to cell death and deterioration of brain tissue. Tau proteins are also present in normal brain tissue to stabilize microtubules and aid transport within neurons. They cause problems when they become damaged and detach from microtubules to form tangles, or clumps.</w:t>
            </w:r>
          </w:p>
          <w:p>
            <w:pPr>
              <w:pStyle w:val="BodyText"/>
            </w:pPr>
            <w:r>
              <w:drawing>
                <wp:inline>
                  <wp:extent cx="5334000" cy="3000375"/>
                  <wp:effectExtent b="0" l="0" r="0" t="0"/>
                  <wp:docPr descr="" title="" id="64" name="Picture"/>
                  <a:graphic>
                    <a:graphicData uri="http://schemas.openxmlformats.org/drawingml/2006/picture">
                      <pic:pic>
                        <pic:nvPicPr>
                          <pic:cNvPr descr="mouse_gutbrain_de_miniCURE_guide_files/figure-docx//1vikcyml6uw-_DaC1yFpS-UWoWNEGxFukMB_eCi42BqY_g3707230d9af_0_17.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Parkinson’s Disease (PD)</w:t>
            </w:r>
            <w:r>
              <w:t xml:space="preserve"> </w:t>
            </w:r>
            <w:r>
              <w:t xml:space="preserve">is a movement disorder of the nervous system. Over time, individuals with PD lose their ability to regulate and control fine motor movement, resulting in tremors, rigid muscles, slow movement (bradykinesia), and difficulties with balance and coordination. They can also show cognitive decline. These symptoms are the result of gradual deterioration of dopamine-producing neurons, specifically in an area of the brain called the substantia nigra. The substantia nigra is responsible for motor movement and has two parts - the pars compacta, which produces dopamine, and the pars reticulata, which uses GABA (another type of neurotransmitter).</w:t>
            </w:r>
          </w:p>
          <w:p>
            <w:pPr>
              <w:pStyle w:val="BodyText"/>
            </w:pPr>
            <w:r>
              <w:drawing>
                <wp:inline>
                  <wp:extent cx="5334000" cy="3000375"/>
                  <wp:effectExtent b="0" l="0" r="0" t="0"/>
                  <wp:docPr descr="" title="" id="67" name="Picture"/>
                  <a:graphic>
                    <a:graphicData uri="http://schemas.openxmlformats.org/drawingml/2006/picture">
                      <pic:pic>
                        <pic:nvPicPr>
                          <pic:cNvPr descr="mouse_gutbrain_de_miniCURE_guide_files/figure-docx//1vikcyml6uw-_DaC1yFpS-UWoWNEGxFukMB_eCi42BqY_g3707230d9af_0_2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Multiple Sclerosis (MS)</w:t>
            </w:r>
            <w:r>
              <w:t xml:space="preserve"> </w:t>
            </w:r>
            <w:r>
              <w:t xml:space="preserve">is an immune-mediated neurodegenerative disorder. In MS, the immune system attacks the protective myelin covering around neurons in both the brain and the spinal cord, causing inflammation, demyelination (of loss of the protective myelin sheath), and damage to the underlying neuron. Eventually, these neurons become less efficient at passing electrical impulses to connecting neurons. Individuals with MS experience fatigue, numbness or tingling, difficulties with coordination, blurred or double vision, and memory and concentration issues.</w:t>
            </w:r>
          </w:p>
          <w:p>
            <w:pPr>
              <w:pStyle w:val="BodyText"/>
            </w:pPr>
            <w:r>
              <w:drawing>
                <wp:inline>
                  <wp:extent cx="5334000" cy="3000375"/>
                  <wp:effectExtent b="0" l="0" r="0" t="0"/>
                  <wp:docPr descr="" title="" id="70" name="Picture"/>
                  <a:graphic>
                    <a:graphicData uri="http://schemas.openxmlformats.org/drawingml/2006/picture">
                      <pic:pic>
                        <pic:nvPicPr>
                          <pic:cNvPr descr="mouse_gutbrain_de_miniCURE_guide_files/figure-docx//1vikcyml6uw-_DaC1yFpS-UWoWNEGxFukMB_eCi42BqY_g3707230d9af_0_2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Amyotrophic Lateral Sclerosis (ALS)</w:t>
            </w:r>
            <w:r>
              <w:t xml:space="preserve">, also known as Lou Gehrig’s Disease, is caused by progressive degeneration of motor neurons in the brain and spinal cord. The exact mechanisms that trigger this degeneration are not known, but research has suggested that oxidative stress and mitochondrial dysfunction might contribute to the development of ALS. Additionally, the genes C9orf72, SOD1, TARDBP, and FUS have been identified as risk factors for developing an inherited form of the disease.</w:t>
            </w:r>
          </w:p>
          <w:p>
            <w:pPr>
              <w:pStyle w:val="BodyText"/>
            </w:pPr>
            <w:r>
              <w:drawing>
                <wp:inline>
                  <wp:extent cx="5334000" cy="3000375"/>
                  <wp:effectExtent b="0" l="0" r="0" t="0"/>
                  <wp:docPr descr="" title="" id="73" name="Picture"/>
                  <a:graphic>
                    <a:graphicData uri="http://schemas.openxmlformats.org/drawingml/2006/picture">
                      <pic:pic>
                        <pic:nvPicPr>
                          <pic:cNvPr descr="mouse_gutbrain_de_miniCURE_guide_files/figure-docx//1vikcyml6uw-_DaC1yFpS-UWoWNEGxFukMB_eCi42BqY_g3707230d9af_0_29.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you’re interested in reading more about the biology of neurodegenerative disorders,</w:t>
            </w:r>
            <w:r>
              <w:t xml:space="preserve"> </w:t>
            </w:r>
            <w:hyperlink r:id="rId75">
              <w:r>
                <w:rPr>
                  <w:rStyle w:val="Hyperlink"/>
                </w:rPr>
                <w:t xml:space="preserve">Gadhave et al. 2021</w:t>
              </w:r>
            </w:hyperlink>
            <w:r>
              <w:t xml:space="preserve"> </w:t>
            </w:r>
            <w:r>
              <w:t xml:space="preserve">is a good place to start!</w:t>
            </w:r>
          </w:p>
          <w:p/>
        </w:tc>
      </w:tr>
    </w:tbl>
    <w:bookmarkEnd w:id="76"/>
    <w:bookmarkStart w:id="77" w:name="refining-your-research-question"/>
    <w:p>
      <w:pPr>
        <w:pStyle w:val="Heading3"/>
      </w:pPr>
      <w:r>
        <w:t xml:space="preserve">Refining your research question</w:t>
      </w:r>
    </w:p>
    <w:p>
      <w:pPr>
        <w:pStyle w:val="FirstParagraph"/>
      </w:pPr>
      <w:r>
        <w:t xml:space="preserve">Once you’ve picked brain structure, a neurodevelopmental disorder, or a neurodegenerative disorder to focus on, you’ll want to start identifying specific genes for your research project. The following questions could be a good starting point.</w:t>
      </w:r>
    </w:p>
    <w:p>
      <w:pPr>
        <w:numPr>
          <w:ilvl w:val="0"/>
          <w:numId w:val="1002"/>
        </w:numPr>
      </w:pPr>
      <w:r>
        <w:t xml:space="preserve">Is there a gene or set of genes linked to a biological process you’re particularly interested in? This could include things like</w:t>
      </w:r>
      <w:r>
        <w:t xml:space="preserve"> </w:t>
      </w:r>
      <w:r>
        <w:t xml:space="preserve">“cytokines”</w:t>
      </w:r>
      <w:r>
        <w:t xml:space="preserve">,</w:t>
      </w:r>
      <w:r>
        <w:t xml:space="preserve"> </w:t>
      </w:r>
      <w:r>
        <w:t xml:space="preserve">“anti-inflammatory genes”</w:t>
      </w:r>
      <w:r>
        <w:t xml:space="preserve">,</w:t>
      </w:r>
      <w:r>
        <w:t xml:space="preserve"> </w:t>
      </w:r>
      <w:r>
        <w:t xml:space="preserve">“genes involved in building neurons”</w:t>
      </w:r>
      <w:r>
        <w:t xml:space="preserve">, or any biological process you find interesting!</w:t>
      </w:r>
    </w:p>
    <w:p>
      <w:pPr>
        <w:numPr>
          <w:ilvl w:val="0"/>
          <w:numId w:val="1002"/>
        </w:numPr>
      </w:pPr>
      <w:r>
        <w:t xml:space="preserve">Are there a known risk genes for your disease or disorder of interest (or genes that are protective against this disorder)? Remember, you don’t have to limit yourself to Autism Spectrum Disorder, either; there are many disorders that have a shared genetic and biological basis! If you decide to start here, check that researchers have linked the symptoms of your disease or disorder of interest to the gut microbiome.</w:t>
      </w:r>
    </w:p>
    <w:p>
      <w:pPr>
        <w:numPr>
          <w:ilvl w:val="0"/>
          <w:numId w:val="1002"/>
        </w:numPr>
      </w:pPr>
      <w:r>
        <w:t xml:space="preserve">Are you curious about the standard</w:t>
      </w:r>
      <w:r>
        <w:t xml:space="preserve"> </w:t>
      </w:r>
      <w:r>
        <w:t xml:space="preserve">“housekeeping”</w:t>
      </w:r>
      <w:r>
        <w:t xml:space="preserve"> </w:t>
      </w:r>
      <w:r>
        <w:t xml:space="preserve">genes that are broadly expressed across cell types and involved in common biological processes, like DNA replication, metabolism, and cell cycle regulation? These processes are vitally important for proper cellular function, so disruption in them can cause problems for the organism.</w:t>
      </w:r>
    </w:p>
    <w:p>
      <w:pPr>
        <w:pStyle w:val="FirstParagraph"/>
      </w:pPr>
      <w:r>
        <w:t xml:space="preserve">Once you’ve picked a disorder or cellular process that interests you, start looking up research papers to find genes! You can use sites like PubMed and Google Scholar to look up studies. Skim through at least 4-5 different papers that contain some type of gene name or a biological process.</w:t>
      </w:r>
      <w:r>
        <w:t xml:space="preserve"> </w:t>
      </w:r>
      <w:r>
        <w:rPr>
          <w:b/>
          <w:bCs/>
        </w:rPr>
        <w:t xml:space="preserve">DO NOT GET TOO LOST INTO THE PAPERS!</w:t>
      </w:r>
      <w:r>
        <w:t xml:space="preserve"> </w:t>
      </w:r>
      <w:r>
        <w:t xml:space="preserve">Make sure you skim through them for important information, but be willing to set a paper aside if you’re struggling to find what you need.</w:t>
      </w:r>
    </w:p>
    <w:bookmarkEnd w:id="77"/>
    <w:bookmarkEnd w:id="78"/>
    <w:bookmarkStart w:id="146" w:name="X0432be23cbf4465d01180f7a9d4bf505a8cfc87"/>
    <w:p>
      <w:pPr>
        <w:pStyle w:val="Heading2"/>
      </w:pPr>
      <w:r>
        <w:t xml:space="preserve">Identifying genes of interest with the Mouse Genome Informatics database</w:t>
      </w:r>
    </w:p>
    <w:p>
      <w:pPr>
        <w:pStyle w:val="FirstParagraph"/>
      </w:pPr>
      <w:r>
        <w:t xml:space="preserve">When you started developing your research question, you likely identified a human diseases or human genes that you’re interested in. However, the dataset you will be using contains gene expression data for</w:t>
      </w:r>
      <w:r>
        <w:t xml:space="preserve"> </w:t>
      </w:r>
      <w:r>
        <w:rPr>
          <w:i/>
          <w:iCs/>
        </w:rPr>
        <w:t xml:space="preserve">mouse</w:t>
      </w:r>
      <w:r>
        <w:t xml:space="preserve"> </w:t>
      </w:r>
      <w:r>
        <w:t xml:space="preserve">samples. Before you can actually begin the data analysis, you’ll need to figure out the mouse gene orthologs for the human genes you identified.</w:t>
      </w:r>
    </w:p>
    <w:p>
      <w:pPr>
        <w:pStyle w:val="BodyText"/>
      </w:pPr>
      <w:r>
        <w:t xml:space="preserve">(If you haven’t yet identified human genes of interest, don’t worry - you can also start with a human disease for this part.)</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bookmarkStart w:id="85" w:name="the-mouse-as-a-model-organism"/>
    <w:p>
      <w:pPr>
        <w:pStyle w:val="Heading3"/>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miniCURE_guide_files/figure-docx//1vikcyml6uw-_DaC1yFpS-UWoWNEGxFukMB_eCi42BqY_g33d1434cdd1_12_19.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84">
        <w:r>
          <w:rPr>
            <w:rStyle w:val="Hyperlink"/>
          </w:rPr>
          <w:t xml:space="preserve">here!</w:t>
        </w:r>
      </w:hyperlink>
    </w:p>
    <w:bookmarkEnd w:id="85"/>
    <w:bookmarkStart w:id="87" w:name="mouse-gene-ids"/>
    <w:p>
      <w:pPr>
        <w:pStyle w:val="Heading3"/>
      </w:pPr>
      <w:r>
        <w:t xml:space="preserve">Mouse gene IDs</w:t>
      </w:r>
    </w:p>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86">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End w:id="87"/>
    <w:bookmarkStart w:id="145" w:name="picking-your-genes"/>
    <w:p>
      <w:pPr>
        <w:pStyle w:val="Heading3"/>
      </w:pPr>
      <w:r>
        <w:t xml:space="preserve">Picking your genes</w:t>
      </w:r>
    </w:p>
    <w:p>
      <w:pPr>
        <w:pStyle w:val="FirstParagraph"/>
      </w:pPr>
      <w:r>
        <w:t xml:space="preserve">The MGI allows you to look up information about genes you’re interested in but don’t know much about. This is particularly helpful if you are interested in genes that were identified in other research organisms or in previous studies. You could also start by looking up a human disease and associated human risk genes, then identify the homologous mouse genes.</w:t>
      </w:r>
    </w:p>
    <w:p>
      <w:pPr>
        <w:pStyle w:val="BodyText"/>
      </w:pPr>
      <w:r>
        <w:t xml:space="preserve">Make sure you are recording the name and gene ID for the mouse! Gene names are often similar between mice and humans, but the gene IDs will be very different. If you don’t use the correct gene ID when exploring this dataset, you won’t get very far.</w:t>
      </w:r>
    </w:p>
    <w:p>
      <w:pPr>
        <w:pStyle w:val="BodyText"/>
      </w:pPr>
      <w:r>
        <w:t xml:space="preserve">There are multiple ways to use MGI to find information about your mouse genes.</w:t>
      </w:r>
      <w:r>
        <w:t xml:space="preserve"> </w:t>
      </w:r>
      <w:r>
        <w:rPr>
          <w:b/>
          <w:bCs/>
        </w:rPr>
        <w:t xml:space="preserve">Expand each box for detailed instructions.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based on human gene name</w:t>
            </w:r>
          </w:p>
        </w:tc>
      </w:tr>
      <w:tr>
        <w:trPr>
          <w:cantSplit/>
        </w:trPr>
        <w:tc>
          <w:tcPr>
            <w:tcMar>
              <w:top w:w="108" w:type="dxa"/>
              <w:bottom w:w="108" w:type="dxa"/>
            </w:tcMar>
          </w:tcPr>
          <w:p>
            <w:pPr>
              <w:pStyle w:val="BodyText"/>
            </w:pPr>
            <w:pPr>
              <w:spacing w:before="16"/>
            </w:pPr>
            <w:r>
              <w:t xml:space="preserve">You may have identified a human gene that you’re interested in for your project, so you need to figure out what the mouse ortholog is and (more importantly) what the mouse Ensembl ID is. Luckily, the MGI allows you to search based on the human gene name.</w:t>
            </w:r>
          </w:p>
          <w:p>
            <w:pPr>
              <w:pStyle w:val="BodyText"/>
            </w:pPr>
            <w:r>
              <w:t xml:space="preserve">Let’s say you’re interested in the human gene REG3A, pancreatic secretory protein that may be involved in cell proliferation or differentiation. We know from research papers that it also is upregulated as a result of pancreatic inflammation.</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To look up information on this human gene, type</w:t>
            </w:r>
            <w:r>
              <w:t xml:space="preserve"> </w:t>
            </w:r>
            <w:r>
              <w:t xml:space="preserve">“REG3A”</w:t>
            </w:r>
            <w:r>
              <w:t xml:space="preserve"> </w:t>
            </w:r>
            <w:r>
              <w:t xml:space="preserve">into the</w:t>
            </w:r>
            <w:r>
              <w:t xml:space="preserve"> </w:t>
            </w:r>
            <w:r>
              <w:t xml:space="preserve">“Quick Search”</w:t>
            </w:r>
            <w:r>
              <w:t xml:space="preserve"> </w:t>
            </w:r>
            <w:r>
              <w:t xml:space="preserve">bar and press enter.</w:t>
            </w:r>
          </w:p>
          <w:p>
            <w:pPr>
              <w:pStyle w:val="BodyText"/>
            </w:pPr>
            <w:r>
              <w:drawing>
                <wp:inline>
                  <wp:extent cx="5334000" cy="3000375"/>
                  <wp:effectExtent b="0" l="0" r="0" t="0"/>
                  <wp:docPr descr="" title="" id="91" name="Picture"/>
                  <a:graphic>
                    <a:graphicData uri="http://schemas.openxmlformats.org/drawingml/2006/picture">
                      <pic:pic>
                        <pic:nvPicPr>
                          <pic:cNvPr descr="mouse_gutbrain_de_miniCURE_guide_files/figure-docx//1vikcyml6uw-_DaC1yFpS-UWoWNEGxFukMB_eCi42BqY_g33d632640e3_0_0.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notice that MGI returns 3 possible mouse genes that are orthologs to the human gene REG3A. This is totally normal! Remember, orthologs are gene that shares the same ancestry. In this case, there was likely a gene duplication event in the mouse ancestor after it split off from the human ancestor.</w:t>
            </w:r>
          </w:p>
          <w:p>
            <w:pPr>
              <w:pStyle w:val="BodyText"/>
            </w:pPr>
            <w:r>
              <w:t xml:space="preserve">You can pick whichever ortholog you like (or even pick all of them). For this example, we’ll choose the mouse gene</w:t>
            </w:r>
            <w:r>
              <w:t xml:space="preserve"> </w:t>
            </w:r>
            <w:r>
              <w:t xml:space="preserve">“Reg3a”</w:t>
            </w:r>
            <w:r>
              <w:t xml:space="preserve">. Click on the gene symbol (in this example, Reg3a) to get more detailed information.</w:t>
            </w:r>
          </w:p>
          <w:p>
            <w:pPr>
              <w:pStyle w:val="BodyText"/>
            </w:pPr>
            <w:r>
              <w:drawing>
                <wp:inline>
                  <wp:extent cx="5334000" cy="3000375"/>
                  <wp:effectExtent b="0" l="0" r="0" t="0"/>
                  <wp:docPr descr="" title="" id="94" name="Picture"/>
                  <a:graphic>
                    <a:graphicData uri="http://schemas.openxmlformats.org/drawingml/2006/picture">
                      <pic:pic>
                        <pic:nvPicPr>
                          <pic:cNvPr descr="mouse_gutbrain_de_miniCURE_guide_files/figure-docx//1vikcyml6uw-_DaC1yFpS-UWoWNEGxFukMB_eCi42BqY_g33d632640e3_0_6.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7" name="Picture"/>
                  <a:graphic>
                    <a:graphicData uri="http://schemas.openxmlformats.org/drawingml/2006/picture">
                      <pic:pic>
                        <pic:nvPicPr>
                          <pic:cNvPr descr="mouse_gutbrain_de_miniCURE_guide_files/figure-docx//1vikcyml6uw-_DaC1yFpS-UWoWNEGxFukMB_eCi42BqY_g37384057e97_0_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 the new page that you open, details about the gene are organized into familiar categories. But first, let’s take a look at the IDs on the right-hand side of the</w:t>
            </w:r>
            <w:r>
              <w:t xml:space="preserve"> </w:t>
            </w:r>
            <w:r>
              <w:t xml:space="preserve">“summary”</w:t>
            </w:r>
            <w:r>
              <w:t xml:space="preserve"> </w:t>
            </w:r>
            <w:r>
              <w:t xml:space="preserve">section. In particular, we’re interested in the NCBI link. Click this link.</w:t>
            </w:r>
          </w:p>
          <w:p>
            <w:pPr>
              <w:pStyle w:val="BodyText"/>
            </w:pPr>
            <w:r>
              <w:drawing>
                <wp:inline>
                  <wp:extent cx="5334000" cy="3000375"/>
                  <wp:effectExtent b="0" l="0" r="0" t="0"/>
                  <wp:docPr descr="" title="" id="100" name="Picture"/>
                  <a:graphic>
                    <a:graphicData uri="http://schemas.openxmlformats.org/drawingml/2006/picture">
                      <pic:pic>
                        <pic:nvPicPr>
                          <pic:cNvPr descr="mouse_gutbrain_de_miniCURE_guide_files/figure-docx//1vikcyml6uw-_DaC1yFpS-UWoWNEGxFukMB_eCi42BqY_g33d632640e3_0_12.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We’re now on the NCBI page for the mouse gene Reg3a, which has the Ensembl ID for this gene. Copy this so you can later use it to look through the dataset!</w:t>
            </w:r>
          </w:p>
          <w:p>
            <w:pPr>
              <w:pStyle w:val="BodyText"/>
            </w:pPr>
            <w:r>
              <w:drawing>
                <wp:inline>
                  <wp:extent cx="5334000" cy="3000375"/>
                  <wp:effectExtent b="0" l="0" r="0" t="0"/>
                  <wp:docPr descr="" title="" id="103" name="Picture"/>
                  <a:graphic>
                    <a:graphicData uri="http://schemas.openxmlformats.org/drawingml/2006/picture">
                      <pic:pic>
                        <pic:nvPicPr>
                          <pic:cNvPr descr="mouse_gutbrain_de_miniCURE_guide_files/figure-docx//1vikcyml6uw-_DaC1yFpS-UWoWNEGxFukMB_eCi42BqY_g33d632640e3_0_15.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Reg3a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06" name="Picture"/>
                  <a:graphic>
                    <a:graphicData uri="http://schemas.openxmlformats.org/drawingml/2006/picture">
                      <pic:pic>
                        <pic:nvPicPr>
                          <pic:cNvPr descr="mouse_gutbrain_de_miniCURE_guide_files/figure-docx//1vikcyml6uw-_DaC1yFpS-UWoWNEGxFukMB_eCi42BqY_g346083d4dc0_0_5.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Check this section to make sure the human gene symbol (name) you originally looked up is listed - it’s always good to verify you haven’t ended up on the page for the wrong mouse gene!</w:t>
            </w:r>
          </w:p>
          <w:p>
            <w:pPr>
              <w:pStyle w:val="BodyText"/>
            </w:pPr>
            <w:r>
              <w:drawing>
                <wp:inline>
                  <wp:extent cx="5334000" cy="3000375"/>
                  <wp:effectExtent b="0" l="0" r="0" t="0"/>
                  <wp:docPr descr="" title="" id="109" name="Picture"/>
                  <a:graphic>
                    <a:graphicData uri="http://schemas.openxmlformats.org/drawingml/2006/picture">
                      <pic:pic>
                        <pic:nvPicPr>
                          <pic:cNvPr descr="mouse_gutbrain_de_miniCURE_guide_files/figure-docx//1vikcyml6uw-_DaC1yFpS-UWoWNEGxFukMB_eCi42BqY_g346083d4dc0_0_8.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12" name="Picture"/>
                  <a:graphic>
                    <a:graphicData uri="http://schemas.openxmlformats.org/drawingml/2006/picture">
                      <pic:pic>
                        <pic:nvPicPr>
                          <pic:cNvPr descr="mouse_gutbrain_de_miniCURE_guide_files/figure-docx//1vikcyml6uw-_DaC1yFpS-UWoWNEGxFukMB_eCi42BqY_g346083d4dc0_0_11.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gene ontology section, check whether the associated GO terms make sense for the question you want to explore. For example, maybe we are looking at the REG3A gene because we’re interested in neuroinflammation. We can see that the term</w:t>
            </w:r>
            <w:r>
              <w:t xml:space="preserve"> </w:t>
            </w:r>
            <w:r>
              <w:t xml:space="preserve">“immune system process”</w:t>
            </w:r>
            <w:r>
              <w:t xml:space="preserve"> </w:t>
            </w:r>
            <w:r>
              <w:t xml:space="preserve">(under Biological Process) is associated with the REG3A gene. That tells us that we can indeed use this gene to explore neuroinflammation.</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15" name="Picture"/>
                  <a:graphic>
                    <a:graphicData uri="http://schemas.openxmlformats.org/drawingml/2006/picture">
                      <pic:pic>
                        <pic:nvPicPr>
                          <pic:cNvPr descr="mouse_gutbrain_de_miniCURE_guide_files/figure-docx//1vikcyml6uw-_DaC1yFpS-UWoWNEGxFukMB_eCi42BqY_g346083d4dc0_0_18.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Remember, the dataset you’re working with includes samples from the mouse brain. It’s important that you choose genes that are actually expressed in the nervous system. It looks like REG3A isn’t known for its expression in the nervous system, which is a bit troubling.</w:t>
            </w:r>
            <w:r>
              <w:t xml:space="preserve"> </w:t>
            </w:r>
            <w:r>
              <w:rPr>
                <w:b/>
                <w:bCs/>
              </w:rPr>
              <w:t xml:space="preserve">However, 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We’ll keep this gene on our gene list for now and check that it’s in our actual dataset. Just be aware that we may have to drop this gene from our analysis later.</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caution.png" id="11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associated with a human disease</w:t>
            </w:r>
          </w:p>
        </w:tc>
      </w:tr>
      <w:tr>
        <w:trPr>
          <w:cantSplit/>
        </w:trPr>
        <w:tc>
          <w:tcPr>
            <w:tcMar>
              <w:top w:w="108" w:type="dxa"/>
              <w:bottom w:w="108" w:type="dxa"/>
            </w:tcMar>
          </w:tcPr>
          <w:p>
            <w:pPr>
              <w:pStyle w:val="BodyText"/>
            </w:pPr>
            <w:pPr>
              <w:spacing w:before="16"/>
            </w:pPr>
            <w:r>
              <w:t xml:space="preserve">You may not know a particular gene that you want to explore in this dataset, but maybe you do have a human disease or condition that you’re interested in. You can look up mouse genes that might be associated with this disease in the MGI as your starting point.</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Choose the tab that says</w:t>
            </w:r>
            <w:r>
              <w:t xml:space="preserve"> </w:t>
            </w:r>
            <w:r>
              <w:t xml:space="preserve">“Human-Mouse: Disease Connection”</w:t>
            </w:r>
            <w:r>
              <w:t xml:space="preserve">.</w:t>
            </w:r>
          </w:p>
          <w:p>
            <w:pPr>
              <w:pStyle w:val="BodyText"/>
            </w:pPr>
            <w:r>
              <w:drawing>
                <wp:inline>
                  <wp:extent cx="5334000" cy="3000375"/>
                  <wp:effectExtent b="0" l="0" r="0" t="0"/>
                  <wp:docPr descr="" title="" id="120" name="Picture"/>
                  <a:graphic>
                    <a:graphicData uri="http://schemas.openxmlformats.org/drawingml/2006/picture">
                      <pic:pic>
                        <pic:nvPicPr>
                          <pic:cNvPr descr="mouse_gutbrain_de_miniCURE_guide_files/figure-docx//1vikcyml6uw-_DaC1yFpS-UWoWNEGxFukMB_eCi42BqY_g33d632640e3_0_18.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then want to choose</w:t>
            </w:r>
            <w:r>
              <w:t xml:space="preserve"> </w:t>
            </w:r>
            <w:r>
              <w:t xml:space="preserve">“Disease or Phenotype Name”</w:t>
            </w:r>
            <w:r>
              <w:t xml:space="preserve"> </w:t>
            </w:r>
            <w:r>
              <w:t xml:space="preserve">from the drop-down menu on the left and type the disease of interest into the search bar on the right. For this example, let’s look up</w:t>
            </w:r>
            <w:r>
              <w:t xml:space="preserve"> </w:t>
            </w:r>
            <w:r>
              <w:t xml:space="preserve">“pancreatic inflammation”</w:t>
            </w:r>
            <w:r>
              <w:t xml:space="preserve">.</w:t>
            </w:r>
          </w:p>
          <w:p>
            <w:pPr>
              <w:pStyle w:val="BodyText"/>
            </w:pPr>
            <w:r>
              <w:drawing>
                <wp:inline>
                  <wp:extent cx="5334000" cy="3000375"/>
                  <wp:effectExtent b="0" l="0" r="0" t="0"/>
                  <wp:docPr descr="" title="" id="123" name="Picture"/>
                  <a:graphic>
                    <a:graphicData uri="http://schemas.openxmlformats.org/drawingml/2006/picture">
                      <pic:pic>
                        <pic:nvPicPr>
                          <pic:cNvPr descr="mouse_gutbrain_de_miniCURE_guide_files/figure-docx//1vikcyml6uw-_DaC1yFpS-UWoWNEGxFukMB_eCi42BqY_g33d632640e3_0_21.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a brief pause (in which you may see graphics of a human and mouse running on wheels), a new page will open that lists human genes associated with pancreatic inflammation, as well as the mouse orthologs for those genes. This graphic will also indicate the molecular function these genes are associated with. You can click on any of the mouse genes to explore further. Let’s click on the top hit, Abcb1a.</w:t>
            </w:r>
          </w:p>
          <w:p>
            <w:pPr>
              <w:pStyle w:val="BodyText"/>
            </w:pPr>
            <w:r>
              <w:drawing>
                <wp:inline>
                  <wp:extent cx="5334000" cy="3000375"/>
                  <wp:effectExtent b="0" l="0" r="0" t="0"/>
                  <wp:docPr descr="" title="" id="125" name="Picture"/>
                  <a:graphic>
                    <a:graphicData uri="http://schemas.openxmlformats.org/drawingml/2006/picture">
                      <pic:pic>
                        <pic:nvPicPr>
                          <pic:cNvPr descr="mouse_gutbrain_de_miniCURE_guide_files/figure-docx//1vikcyml6uw-_DaC1yFpS-UWoWNEGxFukMB_eCi42BqY_g33d632640e3_0_21.png" id="126"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should now be on a page that contains all sorts of information about the mouse gene Abcb1a. In the</w:t>
            </w:r>
            <w:r>
              <w:t xml:space="preserve"> </w:t>
            </w:r>
            <w:r>
              <w:t xml:space="preserve">“summary”</w:t>
            </w:r>
            <w:r>
              <w:t xml:space="preserve"> </w:t>
            </w:r>
            <w:r>
              <w:t xml:space="preserve">section up top, you can click on the NCBI ID to get the Ensembl mouse ID for this gene.</w:t>
            </w:r>
          </w:p>
          <w:p>
            <w:pPr>
              <w:pStyle w:val="BodyText"/>
            </w:pPr>
            <w:r>
              <w:drawing>
                <wp:inline>
                  <wp:extent cx="5334000" cy="3000375"/>
                  <wp:effectExtent b="0" l="0" r="0" t="0"/>
                  <wp:docPr descr="" title="" id="128" name="Picture"/>
                  <a:graphic>
                    <a:graphicData uri="http://schemas.openxmlformats.org/drawingml/2006/picture">
                      <pic:pic>
                        <pic:nvPicPr>
                          <pic:cNvPr descr="mouse_gutbrain_de_miniCURE_guide_files/figure-docx//1vikcyml6uw-_DaC1yFpS-UWoWNEGxFukMB_eCi42BqY_g33d632640e3_0_27.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Specifically, you will find the Ensemble ID for the mouse gene Abcb1a under the</w:t>
            </w:r>
            <w:r>
              <w:t xml:space="preserve"> </w:t>
            </w:r>
            <w:r>
              <w:t xml:space="preserve">“See Related”</w:t>
            </w:r>
            <w:r>
              <w:t xml:space="preserve"> </w:t>
            </w:r>
            <w:r>
              <w:t xml:space="preserve">section. Copy this so you can later use it to look through the dataset!</w:t>
            </w:r>
          </w:p>
          <w:p>
            <w:pPr>
              <w:pStyle w:val="BodyText"/>
            </w:pPr>
            <w:r>
              <w:drawing>
                <wp:inline>
                  <wp:extent cx="5334000" cy="3000375"/>
                  <wp:effectExtent b="0" l="0" r="0" t="0"/>
                  <wp:docPr descr="" title="" id="131" name="Picture"/>
                  <a:graphic>
                    <a:graphicData uri="http://schemas.openxmlformats.org/drawingml/2006/picture">
                      <pic:pic>
                        <pic:nvPicPr>
                          <pic:cNvPr descr="mouse_gutbrain_de_miniCURE_guide_files/figure-docx//1vikcyml6uw-_DaC1yFpS-UWoWNEGxFukMB_eCi42BqY_g33d632640e3_0_38.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Abcb1a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34" name="Picture"/>
                  <a:graphic>
                    <a:graphicData uri="http://schemas.openxmlformats.org/drawingml/2006/picture">
                      <pic:pic>
                        <pic:nvPicPr>
                          <pic:cNvPr descr="mouse_gutbrain_de_miniCURE_guide_files/figure-docx//1vikcyml6uw-_DaC1yFpS-UWoWNEGxFukMB_eCi42BqY_g33d632640e3_0_43.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Keep a note of what the possible human homolog gene symbols (names) are - this will come in handy for additional research!</w:t>
            </w:r>
          </w:p>
          <w:p>
            <w:pPr>
              <w:pStyle w:val="BodyText"/>
            </w:pPr>
            <w:r>
              <w:drawing>
                <wp:inline>
                  <wp:extent cx="5334000" cy="3000375"/>
                  <wp:effectExtent b="0" l="0" r="0" t="0"/>
                  <wp:docPr descr="" title="" id="137" name="Picture"/>
                  <a:graphic>
                    <a:graphicData uri="http://schemas.openxmlformats.org/drawingml/2006/picture">
                      <pic:pic>
                        <pic:nvPicPr>
                          <pic:cNvPr descr="mouse_gutbrain_de_miniCURE_guide_files/figure-docx//1vikcyml6uw-_DaC1yFpS-UWoWNEGxFukMB_eCi42BqY_g33d632640e3_0_4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40" name="Picture"/>
                  <a:graphic>
                    <a:graphicData uri="http://schemas.openxmlformats.org/drawingml/2006/picture">
                      <pic:pic>
                        <pic:nvPicPr>
                          <pic:cNvPr descr="mouse_gutbrain_de_miniCURE_guide_files/figure-docx//1vikcyml6uw-_DaC1yFpS-UWoWNEGxFukMB_eCi42BqY_g33d632640e3_0_5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Interestingly, this particular gene doesn’t seem to be associate with the Biological Process GO term</w:t>
            </w:r>
            <w:r>
              <w:t xml:space="preserve"> </w:t>
            </w:r>
            <w:r>
              <w:t xml:space="preserve">“immune system process.”</w:t>
            </w:r>
            <w:r>
              <w:t xml:space="preserve"> </w:t>
            </w:r>
            <w:r>
              <w:t xml:space="preserve">This might seem kind of strange since we found it by looking for genes associated with inflammation. However, all is not lost. This gene</w:t>
            </w:r>
            <w:r>
              <w:t xml:space="preserve"> </w:t>
            </w:r>
            <w:r>
              <w:rPr>
                <w:i/>
                <w:iCs/>
              </w:rPr>
              <w:t xml:space="preserve">is</w:t>
            </w:r>
            <w:r>
              <w:t xml:space="preserve"> </w:t>
            </w:r>
            <w:r>
              <w:t xml:space="preserve">associated with GO terms like</w:t>
            </w:r>
            <w:r>
              <w:t xml:space="preserve"> </w:t>
            </w:r>
            <w:r>
              <w:t xml:space="preserve">“signaling”</w:t>
            </w:r>
            <w:r>
              <w:t xml:space="preserve"> </w:t>
            </w:r>
            <w:r>
              <w:t xml:space="preserve">and</w:t>
            </w:r>
            <w:r>
              <w:t xml:space="preserve"> </w:t>
            </w:r>
            <w:r>
              <w:t xml:space="preserve">“stimulus response”</w:t>
            </w:r>
            <w:r>
              <w:t xml:space="preserve">. We know that one possible mechanism for how the gut-brain axis works is through altered cellular signaling. So, this gene still seems promising.</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43" name="Picture"/>
                  <a:graphic>
                    <a:graphicData uri="http://schemas.openxmlformats.org/drawingml/2006/picture">
                      <pic:pic>
                        <pic:nvPicPr>
                          <pic:cNvPr descr="mouse_gutbrain_de_miniCURE_guide_files/figure-docx//1vikcyml6uw-_DaC1yFpS-UWoWNEGxFukMB_eCi42BqY_g33d632640e3_0_59.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the dataset you’re working with includes samples from the mouse brain. It’s important that you choose genes that are actually expressed in the nervous system. Luckily, the Abcb1a gene fits.</w:t>
            </w:r>
          </w:p>
          <w:p>
            <w:pPr>
              <w:pStyle w:val="BodyText"/>
            </w:pPr>
            <w:pPr>
              <w:spacing w:after="16"/>
            </w:pPr>
            <w:r>
              <w:t xml:space="preserve">Don’t panic if one of your genes isn’t known to be expressed in the brain according to MGI!</w:t>
            </w:r>
            <w:r>
              <w:t xml:space="preserve"> </w:t>
            </w:r>
            <w:r>
              <w:rPr>
                <w:b/>
                <w:bCs/>
              </w:rPr>
              <w:t xml:space="preserve">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Keep the gene on your gene list for now. You can check that it’s in the actual dataset during the first steps of your analysis. Just be aware that you may have to drop this gene from your analysis later.</w:t>
            </w:r>
          </w:p>
          <w:p/>
        </w:tc>
      </w:tr>
    </w:tbl>
    <w:p>
      <w:pPr>
        <w:pStyle w:val="BodyText"/>
      </w:pPr>
      <w:r>
        <w:t xml:space="preserve">Now that you have your genes of interest, you’re ready to start working with the dataset.</w:t>
      </w:r>
    </w:p>
    <w:bookmarkEnd w:id="145"/>
    <w:bookmarkEnd w:id="146"/>
    <w:bookmarkStart w:id="231" w:name="exploring-the-gene-expression-count-data"/>
    <w:p>
      <w:pPr>
        <w:pStyle w:val="Heading2"/>
      </w:pPr>
      <w:r>
        <w:t xml:space="preserve">Exploring the gene expression count data</w:t>
      </w:r>
    </w:p>
    <w:p>
      <w:pPr>
        <w:pStyle w:val="FirstParagraph"/>
      </w:pPr>
      <w:r>
        <w:t xml:space="preserve">Let’s start by looking at a dataset that includes information on how many times each gene was expressed in a sample. This is the gene expression count dataset.</w:t>
      </w:r>
    </w:p>
    <w:p>
      <w:pPr>
        <w:pStyle w:val="BodyText"/>
      </w:pPr>
      <w:r>
        <w:t xml:space="preserve">This dataset gives us an idea of the scale of gene expression - for example, which genes are expressed the most? Which genes are expressed the least? This is particularly useful when you want to know if a gene is usually turned on or off in a sample.</w:t>
      </w:r>
    </w:p>
    <w:bookmarkStart w:id="1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the SciServer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149"/>
    <w:bookmarkStart w:id="156" w:name="loading-the-gene-expression-count-data"/>
    <w:p>
      <w:pPr>
        <w:pStyle w:val="Heading3"/>
      </w:pPr>
      <w:r>
        <w:t xml:space="preserve">Loading the gene expression count data</w:t>
      </w:r>
    </w:p>
    <w:p>
      <w:pPr>
        <w:pStyle w:val="FirstParagraph"/>
      </w:pPr>
      <w:r>
        <w:t xml:space="preserve">The gene expression count data for this project is stored online. R has the ability to load datasets from URLs with the tidyverse’s</w:t>
      </w:r>
      <w:r>
        <w:t xml:space="preserve"> </w:t>
      </w:r>
      <w:r>
        <w:rPr>
          <w:rStyle w:val="VerbatimChar"/>
        </w:rPr>
        <w:t xml:space="preserve">read_csv</w:t>
      </w:r>
      <w:r>
        <w:t xml:space="preserve"> </w:t>
      </w:r>
      <w:r>
        <w:t xml:space="preserve">command. Let’s load the gene expression count data for the samples that come from just the control-type mice. This contains all the prefrontal cortex and striatum samples taken from control-type mice (so, two brain regions, only one mouse type).</w:t>
      </w:r>
    </w:p>
    <w:p>
      <w:pPr>
        <w:pStyle w:val="BodyText"/>
      </w:pPr>
      <w:r>
        <w:t xml:space="preserve">Remember, R code always follows the same basic format! In this case, you are telling R to open the csv file that exists at a URL and save it as an object called</w:t>
      </w:r>
      <w:r>
        <w:t xml:space="preserve"> </w:t>
      </w:r>
      <w:r>
        <w:t xml:space="preserve">“gutbrain_genes”</w:t>
      </w:r>
      <w:r>
        <w:t xml:space="preserve">.</w:t>
      </w:r>
    </w:p>
    <w:p>
      <w:pPr>
        <w:pStyle w:val="BodyText"/>
      </w:pPr>
      <w:r>
        <w:drawing>
          <wp:inline>
            <wp:extent cx="5334000" cy="3000375"/>
            <wp:effectExtent b="0" l="0" r="0" t="0"/>
            <wp:docPr descr="" title="" id="151" name="Picture"/>
            <a:graphic>
              <a:graphicData uri="http://schemas.openxmlformats.org/drawingml/2006/picture">
                <pic:pic>
                  <pic:nvPicPr>
                    <pic:cNvPr descr="mouse_gutbrain_de_miniCURE_guide_files/figure-docx//1vikcyml6uw-_DaC1yFpS-UWoWNEGxFukMB_eCi42BqY_g344f6fbf234_0_28.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load this dataset into R using this code.</w:t>
      </w:r>
    </w:p>
    <w:p>
      <w:pPr>
        <w:pStyle w:val="SourceCode"/>
      </w:pPr>
      <w:r>
        <w:rPr>
          <w:rStyle w:val="NormalTok"/>
        </w:rPr>
        <w:t xml:space="preserve">gutbrain_genes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"https://genomicseducation.org/data/mouse_gutbrain_de_counts_controls.csv"</w:t>
      </w:r>
      <w:r>
        <w:rPr>
          <w:rStyle w:val="NormalTok"/>
        </w:rPr>
        <w:t xml:space="preserve">)</w:t>
      </w:r>
    </w:p>
    <w:p>
      <w:pPr>
        <w:pStyle w:val="SourceCode"/>
      </w:pPr>
      <w:r>
        <w:rPr>
          <w:rStyle w:val="VerbatimChar"/>
        </w:rPr>
        <w:t xml:space="preserve">Rows: 55421 Columns: 59</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(58): SRR6652471, SRR6652507, SRR6652508, SRR6652511, SRR6652512, SRR665...</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When we load this dataset, we see it has 59 columns and 55,421 rows. Each row should represent a gene, and each column should be the counts for an individual mouse (sample), except for the first column (</w:t>
      </w:r>
      <w:r>
        <w:t xml:space="preserve">“GeneID”</w:t>
      </w:r>
      <w:r>
        <w:t xml:space="preserve">, which is the Ensembl gene ID).</w:t>
      </w:r>
    </w:p>
    <w:p>
      <w:pPr>
        <w:pStyle w:val="BodyText"/>
      </w:pPr>
      <w:r>
        <w:t xml:space="preserve">Here are the URLs for the other gene expression count datasets for this project:</w:t>
      </w:r>
    </w:p>
    <w:p>
      <w:pPr>
        <w:pStyle w:val="BodyText"/>
      </w:pPr>
      <w:r>
        <w:rPr>
          <w:i/>
          <w:iCs/>
        </w:rPr>
        <w:t xml:space="preserve">Only ASD-type mouse samples</w:t>
      </w:r>
      <w:r>
        <w:t xml:space="preserve"> </w:t>
      </w:r>
      <w:r>
        <w:t xml:space="preserve">(contains both prefrontal cortex and striatum; two brain regions, only one mouse type):</w:t>
      </w:r>
      <w:r>
        <w:t xml:space="preserve"> </w:t>
      </w:r>
      <w:hyperlink r:id="rId153">
        <w:r>
          <w:rPr>
            <w:rStyle w:val="Hyperlink"/>
          </w:rPr>
          <w:t xml:space="preserve">https://genomicseducation.org/data/mouse_gutbrain_de_counts_asd.csv</w:t>
        </w:r>
      </w:hyperlink>
    </w:p>
    <w:p>
      <w:pPr>
        <w:pStyle w:val="BodyText"/>
      </w:pPr>
      <w:r>
        <w:rPr>
          <w:i/>
          <w:iCs/>
        </w:rPr>
        <w:t xml:space="preserve">Only prefrontal cortex samples</w:t>
      </w:r>
      <w:r>
        <w:t xml:space="preserve"> </w:t>
      </w:r>
      <w:r>
        <w:t xml:space="preserve">(contains both ASD-type and control-type mice; two mice types, only one brain region):</w:t>
      </w:r>
      <w:r>
        <w:t xml:space="preserve"> </w:t>
      </w:r>
      <w:hyperlink r:id="rId154">
        <w:r>
          <w:rPr>
            <w:rStyle w:val="Hyperlink"/>
          </w:rPr>
          <w:t xml:space="preserve">https://genomicseducation.org/data/mouse_gutbrain_de_counts_prefrontalcortex.csv</w:t>
        </w:r>
      </w:hyperlink>
    </w:p>
    <w:p>
      <w:pPr>
        <w:pStyle w:val="BodyText"/>
      </w:pPr>
      <w:r>
        <w:rPr>
          <w:i/>
          <w:iCs/>
        </w:rPr>
        <w:t xml:space="preserve">Only striatum samples</w:t>
      </w:r>
      <w:r>
        <w:t xml:space="preserve"> </w:t>
      </w:r>
      <w:r>
        <w:t xml:space="preserve">(contains both ASD-type and control-type mice; two mice types, only one brain region):</w:t>
      </w:r>
      <w:r>
        <w:t xml:space="preserve"> </w:t>
      </w:r>
      <w:hyperlink r:id="rId155">
        <w:r>
          <w:rPr>
            <w:rStyle w:val="Hyperlink"/>
          </w:rPr>
          <w:t xml:space="preserve">https://genomicseducation.org/data/mouse_gutbrain_de_counts_striatum.csv</w:t>
        </w:r>
      </w:hyperlink>
    </w:p>
    <w:p>
      <w:pPr>
        <w:pStyle w:val="BodyText"/>
      </w:pPr>
      <w:r>
        <w:t xml:space="preserve">If you load multiple datasets,</w:t>
      </w:r>
      <w:r>
        <w:t xml:space="preserve"> </w:t>
      </w:r>
      <w:r>
        <w:rPr>
          <w:b/>
          <w:bCs/>
        </w:rPr>
        <w:t xml:space="preserve">make sure to assign them to different object names</w:t>
      </w:r>
      <w:r>
        <w:t xml:space="preserve">. If you load one dataset and save it as</w:t>
      </w:r>
      <w:r>
        <w:t xml:space="preserve"> </w:t>
      </w:r>
      <w:r>
        <w:rPr>
          <w:rStyle w:val="VerbatimChar"/>
        </w:rPr>
        <w:t xml:space="preserve">gutbrain_genes</w:t>
      </w:r>
      <w:r>
        <w:t xml:space="preserve">, loading a second dataset and assigning it to</w:t>
      </w:r>
      <w:r>
        <w:t xml:space="preserve"> </w:t>
      </w:r>
      <w:r>
        <w:rPr>
          <w:rStyle w:val="VerbatimChar"/>
        </w:rPr>
        <w:t xml:space="preserve">gutbrain_genes</w:t>
      </w:r>
      <w:r>
        <w:t xml:space="preserve"> </w:t>
      </w:r>
      <w:r>
        <w:t xml:space="preserve">will overwrite your first dataset. You need to manually change the object name you’re saving each dataset.</w:t>
      </w:r>
    </w:p>
    <w:bookmarkEnd w:id="156"/>
    <w:bookmarkStart w:id="157" w:name="exploring-and-summarizing-count-data"/>
    <w:p>
      <w:pPr>
        <w:pStyle w:val="Heading3"/>
      </w:pPr>
      <w:r>
        <w:t xml:space="preserve">Exploring and summarizing count data</w:t>
      </w:r>
    </w:p>
    <w:p>
      <w:pPr>
        <w:pStyle w:val="FirstParagraph"/>
      </w:pPr>
      <w:r>
        <w:t xml:space="preserve">When you first open the gene expression data, you want to verify that the data has loaded correctly. You can do this with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commands. Remember,</w:t>
      </w:r>
      <w:r>
        <w:t xml:space="preserve"> </w:t>
      </w:r>
      <w:r>
        <w:rPr>
          <w:rStyle w:val="VerbatimChar"/>
        </w:rPr>
        <w:t xml:space="preserve">head</w:t>
      </w:r>
      <w:r>
        <w:t xml:space="preserve"> </w:t>
      </w:r>
      <w:r>
        <w:t xml:space="preserve">prints the first 6 rows of a dataset, while</w:t>
      </w:r>
      <w:r>
        <w:t xml:space="preserve"> </w:t>
      </w:r>
      <w:r>
        <w:rPr>
          <w:rStyle w:val="VerbatimChar"/>
        </w:rPr>
        <w:t xml:space="preserve">tail</w:t>
      </w:r>
      <w:r>
        <w:t xml:space="preserve"> </w:t>
      </w:r>
      <w:r>
        <w:t xml:space="preserve">prints the last 6 rows.</w:t>
      </w:r>
    </w:p>
    <w:p>
      <w:pPr>
        <w:pStyle w:val="SourceCode"/>
      </w:pPr>
      <w:r>
        <w:rPr>
          <w:rStyle w:val="FunctionTok"/>
        </w:rPr>
        <w:t xml:space="preserve">head</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138</w:t>
      </w:r>
      <w:r>
        <w:br/>
      </w:r>
      <w:r>
        <w:rPr>
          <w:rStyle w:val="VerbatimChar"/>
        </w:rPr>
        <w:t xml:space="preserve">2 ENSMUSG0000…          0          0          0          0          0          0</w:t>
      </w:r>
      <w:r>
        <w:br/>
      </w:r>
      <w:r>
        <w:rPr>
          <w:rStyle w:val="VerbatimChar"/>
        </w:rPr>
        <w:t xml:space="preserve">3 ENSMUSG0000…          0          0          0          0          0          0</w:t>
      </w:r>
      <w:r>
        <w:br/>
      </w:r>
      <w:r>
        <w:rPr>
          <w:rStyle w:val="VerbatimChar"/>
        </w:rPr>
        <w:t xml:space="preserve">4 ENSMUSG0000…          0          0          0          0          0          0</w:t>
      </w:r>
      <w:r>
        <w:br/>
      </w:r>
      <w:r>
        <w:rPr>
          <w:rStyle w:val="VerbatimChar"/>
        </w:rPr>
        <w:t xml:space="preserve">5 ENSMUSG0000…          0          0          0          0          0          0</w:t>
      </w:r>
      <w:r>
        <w:br/>
      </w:r>
      <w:r>
        <w:rPr>
          <w:rStyle w:val="VerbatimChar"/>
        </w:rPr>
        <w:t xml:space="preserve">6 ENSMUSG0000…          0          0          0          0          0          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SourceCode"/>
      </w:pPr>
      <w:r>
        <w:rPr>
          <w:rStyle w:val="FunctionTok"/>
        </w:rPr>
        <w:t xml:space="preserve">tail</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0</w:t>
      </w:r>
      <w:r>
        <w:br/>
      </w:r>
      <w:r>
        <w:rPr>
          <w:rStyle w:val="VerbatimChar"/>
        </w:rPr>
        <w:t xml:space="preserve">2 ENSMUSG0000…      17809       4859      10099       9495      10105      11322</w:t>
      </w:r>
      <w:r>
        <w:br/>
      </w:r>
      <w:r>
        <w:rPr>
          <w:rStyle w:val="VerbatimChar"/>
        </w:rPr>
        <w:t xml:space="preserve">3 ENSMUSG0000…       5384       1952       4737       4702       4385       3985</w:t>
      </w:r>
      <w:r>
        <w:br/>
      </w:r>
      <w:r>
        <w:rPr>
          <w:rStyle w:val="VerbatimChar"/>
        </w:rPr>
        <w:t xml:space="preserve">4 ENSMUSG0000…      62645      30726      49800      57108      58010      35727</w:t>
      </w:r>
      <w:r>
        <w:br/>
      </w:r>
      <w:r>
        <w:rPr>
          <w:rStyle w:val="VerbatimChar"/>
        </w:rPr>
        <w:t xml:space="preserve">5 ENSMUSG0000…        100        239         34        131          0        454</w:t>
      </w:r>
      <w:r>
        <w:br/>
      </w:r>
      <w:r>
        <w:rPr>
          <w:rStyle w:val="VerbatimChar"/>
        </w:rPr>
        <w:t xml:space="preserve">6 ENSMUSG0000…       1510        537       2655       1769       2278       1810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FirstParagraph"/>
      </w:pPr>
      <w:r>
        <w:t xml:space="preserve">You should see rows with data in your R environment. Previously you found out that:</w:t>
      </w:r>
    </w:p>
    <w:p>
      <w:pPr>
        <w:pStyle w:val="BlockText"/>
      </w:pPr>
      <w:r>
        <w:t xml:space="preserve">Each row should represent a gene, and each column should be the counts for an individual mouse (sample), except for the first column (</w:t>
      </w:r>
      <w:r>
        <w:t xml:space="preserve">“GeneID”</w:t>
      </w:r>
      <w:r>
        <w:t xml:space="preserve">, which is the Ensembl gene ID).</w:t>
      </w:r>
    </w:p>
    <w:p>
      <w:pPr>
        <w:pStyle w:val="FirstParagraph"/>
      </w:pPr>
      <w:r>
        <w:t xml:space="preserve">Can you verify that your first column is called</w:t>
      </w:r>
      <w:r>
        <w:t xml:space="preserve"> </w:t>
      </w:r>
      <w:r>
        <w:t xml:space="preserve">“GeneID”</w:t>
      </w:r>
      <w:r>
        <w:t xml:space="preserve"> </w:t>
      </w:r>
      <w:r>
        <w:t xml:space="preserve">and each following column is named something that starts with</w:t>
      </w:r>
      <w:r>
        <w:t xml:space="preserve"> </w:t>
      </w:r>
      <w:r>
        <w:t xml:space="preserve">“SRR”</w:t>
      </w:r>
      <w:r>
        <w:t xml:space="preserve">? (This is how each of the samples was named.) If so, great! The dataset loaded correctly. If not, check that you haven’t mistyped or incorrectly copied the code.</w:t>
      </w:r>
    </w:p>
    <w:p>
      <w:pPr>
        <w:pStyle w:val="BodyText"/>
      </w:pPr>
      <w:r>
        <w:t xml:space="preserve">You always want to check that your columns and rows are loaded and displaying as expected.</w:t>
      </w:r>
    </w:p>
    <w:bookmarkEnd w:id="157"/>
    <w:bookmarkStart w:id="182" w:name="X5732395cca3e464c57bac8c28d5477884ad8602"/>
    <w:p>
      <w:pPr>
        <w:pStyle w:val="Heading3"/>
      </w:pPr>
      <w:r>
        <w:t xml:space="preserve">Plotting histograms and dealing with zero counts</w:t>
      </w:r>
    </w:p>
    <w:p>
      <w:pPr>
        <w:pStyle w:val="FirstParagraph"/>
      </w:pPr>
      <w:r>
        <w:t xml:space="preserve">A histogram is a good way to visually explore the distribution of the read counts, as well as get an idea of how many genes have few or no reads.</w:t>
      </w:r>
    </w:p>
    <w:p>
      <w:pPr>
        <w:pStyle w:val="BodyText"/>
      </w:pPr>
      <w:r>
        <w:t xml:space="preserve">Before we make the histogram, we actually need to sum up the total reads for each gene (row). We can do this in R using the command</w:t>
      </w:r>
      <w:r>
        <w:t xml:space="preserve"> </w:t>
      </w:r>
      <w:r>
        <w:rPr>
          <w:rStyle w:val="VerbatimChar"/>
        </w:rPr>
        <w:t xml:space="preserve">rowSums</w:t>
      </w:r>
      <w:r>
        <w:t xml:space="preserve">. Remember, our dataset has 59 columns, but only columns 2 - 59 contain count data for each gene. The first column is the</w:t>
      </w:r>
      <w:r>
        <w:t xml:space="preserve"> </w:t>
      </w:r>
      <w:r>
        <w:t xml:space="preserve">“GeneID”</w:t>
      </w:r>
      <w:r>
        <w:t xml:space="preserve">. So we need to tell R to do the row sum for columns 2-59, then save it as a new column called</w:t>
      </w:r>
      <w:r>
        <w:t xml:space="preserve"> </w:t>
      </w:r>
      <w:r>
        <w:t xml:space="preserve">“total_counts”</w:t>
      </w:r>
      <w:r>
        <w:t xml:space="preserve">.</w:t>
      </w:r>
    </w:p>
    <w:p>
      <w:pPr>
        <w:pStyle w:val="BodyText"/>
      </w:pPr>
      <w:r>
        <w:drawing>
          <wp:inline>
            <wp:extent cx="5334000" cy="3000375"/>
            <wp:effectExtent b="0" l="0" r="0" t="0"/>
            <wp:docPr descr="" title="" id="159" name="Picture"/>
            <a:graphic>
              <a:graphicData uri="http://schemas.openxmlformats.org/drawingml/2006/picture">
                <pic:pic>
                  <pic:nvPicPr>
                    <pic:cNvPr descr="mouse_gutbrain_de_miniCURE_guide_files/figure-docx//1vikcyml6uw-_DaC1yFpS-UWoWNEGxFukMB_eCi42BqY_g36f913be5dc_0_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Because we’re saving the results of our calculation as a new column, we have to use a</w:t>
      </w:r>
      <w:r>
        <w:t xml:space="preserve"> </w:t>
      </w:r>
      <w:r>
        <w:rPr>
          <w:rStyle w:val="VerbatimChar"/>
        </w:rPr>
        <w:t xml:space="preserve">$</w:t>
      </w:r>
      <w:r>
        <w:t xml:space="preserve"> </w:t>
      </w:r>
      <w:r>
        <w:t xml:space="preserve">to tell R to make a new column. In this case, R interprets</w:t>
      </w:r>
      <w:r>
        <w:t xml:space="preserve"> </w:t>
      </w:r>
      <w:r>
        <w:rPr>
          <w:rStyle w:val="VerbatimChar"/>
        </w:rPr>
        <w:t xml:space="preserve">gutbrain_genes$total_counts</w:t>
      </w:r>
      <w:r>
        <w:t xml:space="preserve"> </w:t>
      </w:r>
      <w:r>
        <w:t xml:space="preserve">as the</w:t>
      </w:r>
      <w:r>
        <w:t xml:space="preserve"> </w:t>
      </w:r>
      <w:r>
        <w:rPr>
          <w:rStyle w:val="VerbatimChar"/>
        </w:rPr>
        <w:t xml:space="preserve">total_counts</w:t>
      </w:r>
      <w:r>
        <w:t xml:space="preserve"> </w:t>
      </w:r>
      <w:r>
        <w:t xml:space="preserve">column in the</w:t>
      </w:r>
      <w:r>
        <w:t xml:space="preserve"> </w:t>
      </w:r>
      <w:r>
        <w:rPr>
          <w:rStyle w:val="VerbatimChar"/>
        </w:rPr>
        <w:t xml:space="preserve">gutbrain_genes</w:t>
      </w:r>
      <w:r>
        <w:t xml:space="preserve"> </w:t>
      </w:r>
      <w:r>
        <w:t xml:space="preserve">dataset (object).</w:t>
      </w:r>
    </w:p>
    <w:p>
      <w:pPr>
        <w:pStyle w:val="SourceCode"/>
      </w:pPr>
      <w:r>
        <w:rPr>
          <w:rStyle w:val="NormalTok"/>
        </w:rPr>
        <w:t xml:space="preserve">gutbrain_genes</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FunctionTok"/>
        </w:rPr>
        <w:t xml:space="preserve">rowSums</w:t>
      </w:r>
      <w:r>
        <w:rPr>
          <w:rStyle w:val="NormalTok"/>
        </w:rPr>
        <w:t xml:space="preserve">(gutbrain_genes[</w:t>
      </w:r>
      <w:r>
        <w:rPr>
          <w:rStyle w:val="DecValTok"/>
        </w:rPr>
        <w:t xml:space="preserve">2</w:t>
      </w:r>
      <w:r>
        <w:rPr>
          <w:rStyle w:val="SpecialCharTok"/>
        </w:rPr>
        <w:t xml:space="preserve">:</w:t>
      </w:r>
      <w:r>
        <w:rPr>
          <w:rStyle w:val="DecValTok"/>
        </w:rPr>
        <w:t xml:space="preserve">59</w:t>
      </w:r>
      <w:r>
        <w:rPr>
          <w:rStyle w:val="NormalTok"/>
        </w:rPr>
        <w:t xml:space="preserve">])</w:t>
      </w:r>
    </w:p>
    <w:p>
      <w:pPr>
        <w:pStyle w:val="FirstParagraph"/>
      </w:pPr>
      <w:r>
        <w:t xml:space="preserve">Let’s look at the mean, median, maximum, and minimum values (called descriptive statistics) of the new</w:t>
      </w:r>
      <w:r>
        <w:t xml:space="preserve"> </w:t>
      </w:r>
      <w:r>
        <w:rPr>
          <w:rStyle w:val="VerbatimChar"/>
        </w:rPr>
        <w:t xml:space="preserve">total_counts</w:t>
      </w:r>
      <w:r>
        <w:t xml:space="preserve"> </w:t>
      </w:r>
      <w:r>
        <w:t xml:space="preserve">column we made. This lets us know what sort of scale we might need to use when making a graph of the data. We can do this using the</w:t>
      </w:r>
      <w:r>
        <w:t xml:space="preserve"> </w:t>
      </w:r>
      <w:r>
        <w:rPr>
          <w:rStyle w:val="VerbatimChar"/>
        </w:rPr>
        <w:t xml:space="preserve">summary</w:t>
      </w:r>
      <w:r>
        <w:t xml:space="preserve"> </w:t>
      </w:r>
      <w:r>
        <w:t xml:space="preserve">command.</w:t>
      </w:r>
    </w:p>
    <w:p>
      <w:pPr>
        <w:pStyle w:val="BodyText"/>
      </w:pPr>
      <w:r>
        <w:drawing>
          <wp:inline>
            <wp:extent cx="5334000" cy="3000375"/>
            <wp:effectExtent b="0" l="0" r="0" t="0"/>
            <wp:docPr descr="" title="" id="162" name="Picture"/>
            <a:graphic>
              <a:graphicData uri="http://schemas.openxmlformats.org/drawingml/2006/picture">
                <pic:pic>
                  <pic:nvPicPr>
                    <pic:cNvPr descr="mouse_gutbrain_de_miniCURE_guide_files/figure-docx//1vikcyml6uw-_DaC1yFpS-UWoWNEGxFukMB_eCi42BqY_g374e005048b_0_66.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Notice that we didn’t use the</w:t>
      </w:r>
      <w:r>
        <w:t xml:space="preserve"> </w:t>
      </w:r>
      <w:r>
        <w:rPr>
          <w:rStyle w:val="VerbatimChar"/>
        </w:rPr>
        <w:t xml:space="preserve">&lt;-</w:t>
      </w:r>
      <w:r>
        <w:t xml:space="preserve"> </w:t>
      </w:r>
      <w:r>
        <w:t xml:space="preserve">to save the summary data to an object! You can, but we’re just curious to check out the descriptive statistics and won’t be using them again.</w:t>
      </w:r>
    </w:p>
    <w:p>
      <w:pPr>
        <w:pStyle w:val="BodyText"/>
      </w:pPr>
      <w:r>
        <w:drawing>
          <wp:inline>
            <wp:extent cx="5334000" cy="3000375"/>
            <wp:effectExtent b="0" l="0" r="0" t="0"/>
            <wp:docPr descr="" title="" id="165" name="Picture"/>
            <a:graphic>
              <a:graphicData uri="http://schemas.openxmlformats.org/drawingml/2006/picture">
                <pic:pic>
                  <pic:nvPicPr>
                    <pic:cNvPr descr="mouse_gutbrain_de_miniCURE_guide_files/figure-docx//1vikcyml6uw-_DaC1yFpS-UWoWNEGxFukMB_eCi42BqY_g374e005048b_0_104.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Let’s try saving the output of the summary statement with the</w:t>
      </w:r>
      <w:r>
        <w:t xml:space="preserve"> </w:t>
      </w:r>
      <w:r>
        <w:rPr>
          <w:rStyle w:val="VerbatimChar"/>
        </w:rPr>
        <w:t xml:space="preserve">&lt;-</w:t>
      </w:r>
      <w:r>
        <w:t xml:space="preserve">.</w:t>
      </w:r>
    </w:p>
    <w:p>
      <w:pPr>
        <w:pStyle w:val="SourceCode"/>
      </w:pPr>
      <w:r>
        <w:rPr>
          <w:rStyle w:val="NormalTok"/>
        </w:rPr>
        <w:t xml:space="preserve">summary_stats </w:t>
      </w:r>
      <w:r>
        <w:rPr>
          <w:rStyle w:val="OtherTok"/>
        </w:rPr>
        <w:t xml:space="preserve">&lt;-</w:t>
      </w:r>
      <w:r>
        <w:rPr>
          <w:rStyle w:val="NormalTok"/>
        </w:rPr>
        <w:t xml:space="preserve"> </w:t>
      </w: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FirstParagraph"/>
      </w:pPr>
      <w:r>
        <w:t xml:space="preserve">When you save the output as</w:t>
      </w:r>
      <w:r>
        <w:t xml:space="preserve"> </w:t>
      </w:r>
      <w:r>
        <w:rPr>
          <w:rStyle w:val="VerbatimChar"/>
        </w:rPr>
        <w:t xml:space="preserve">summary_stats</w:t>
      </w:r>
      <w:r>
        <w:t xml:space="preserve">, R doesn’t automatically print the output into your console. You’ll have to use a second command to tell R to print.</w:t>
      </w:r>
    </w:p>
    <w:p>
      <w:pPr>
        <w:pStyle w:val="SourceCode"/>
      </w:pPr>
      <w:r>
        <w:rPr>
          <w:rStyle w:val="NormalTok"/>
        </w:rPr>
        <w:t xml:space="preserve">summary_stats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 matter whether you print the summary statistics directly to the console, or save it first as a new object, the results are the same. We can see that some genes are not expressed at all in this dataset (</w:t>
      </w:r>
      <w:r>
        <w:t xml:space="preserve">“total_genes”</w:t>
      </w:r>
      <w:r>
        <w:t xml:space="preserve"> </w:t>
      </w:r>
      <w:r>
        <w:t xml:space="preserve">is 0), while other genes are expressed a lot. We’ll want to take this into account when we make a histogram to explore the distribution of counts visually.</w:t>
      </w:r>
    </w:p>
    <w:p>
      <w:pPr>
        <w:pStyle w:val="BodyText"/>
      </w:pPr>
      <w:r>
        <w:t xml:space="preserve">We can make the histogram using the</w:t>
      </w:r>
      <w:r>
        <w:t xml:space="preserve"> </w:t>
      </w:r>
      <w:r>
        <w:rPr>
          <w:rStyle w:val="VerbatimChar"/>
        </w:rPr>
        <w:t xml:space="preserve">histogram</w:t>
      </w:r>
      <w:r>
        <w:t xml:space="preserve"> </w:t>
      </w:r>
      <w:r>
        <w:t xml:space="preserve">command. Use a log10 scale on the x-axis to plot</w:t>
      </w:r>
      <w:r>
        <w:t xml:space="preserve"> </w:t>
      </w:r>
      <w:r>
        <w:t xml:space="preserve">“total_counts”</w:t>
      </w:r>
      <w:r>
        <w:t xml:space="preserve">. We’re nesting a log transform within the histogram command, as well as adding an argument that lets us add a title.</w:t>
      </w:r>
    </w:p>
    <w:p>
      <w:pPr>
        <w:pStyle w:val="BodyText"/>
      </w:pPr>
      <w:r>
        <w:drawing>
          <wp:inline>
            <wp:extent cx="5334000" cy="3000375"/>
            <wp:effectExtent b="0" l="0" r="0" t="0"/>
            <wp:docPr descr="" title="" id="168" name="Picture"/>
            <a:graphic>
              <a:graphicData uri="http://schemas.openxmlformats.org/drawingml/2006/picture">
                <pic:pic>
                  <pic:nvPicPr>
                    <pic:cNvPr descr="mouse_gutbrain_de_miniCURE_guide_files/figure-docx//1vikcyml6uw-_DaC1yFpS-UWoWNEGxFukMB_eCi42BqY_g374e005048b_0_117.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 </w:t>
      </w:r>
      <w:r>
        <w:rPr>
          <w:rStyle w:val="AttributeTok"/>
        </w:rPr>
        <w:t xml:space="preserve">main=</w:t>
      </w:r>
      <w:r>
        <w:rPr>
          <w:rStyle w:val="StringTok"/>
        </w:rPr>
        <w:t xml:space="preserve">"Log10 Read Counts for Mouse RNA-seq sample"</w:t>
      </w:r>
      <w:r>
        <w:rPr>
          <w:rStyle w:val="NormalTok"/>
        </w:rPr>
        <w:t xml:space="preserve">)</w:t>
      </w:r>
    </w:p>
    <w:p>
      <w:pPr>
        <w:pStyle w:val="FirstParagraph"/>
      </w:pPr>
      <w:r>
        <w:drawing>
          <wp:inline>
            <wp:extent cx="4620126" cy="3696101"/>
            <wp:effectExtent b="0" l="0" r="0" t="0"/>
            <wp:docPr descr="" title="" id="171" name="Picture"/>
            <a:graphic>
              <a:graphicData uri="http://schemas.openxmlformats.org/drawingml/2006/picture">
                <pic:pic>
                  <pic:nvPicPr>
                    <pic:cNvPr descr="mouse_gutbrain_de_miniCURE_guide_files/figure-docx/unnamed-chunk-47-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choose to deal with zero-count genes by adding 0.1 to each count before the log10 transformation. We can do this by creating a new column in the</w:t>
      </w:r>
      <w:r>
        <w:t xml:space="preserve"> </w:t>
      </w:r>
      <w:r>
        <w:rPr>
          <w:rStyle w:val="VerbatimChar"/>
        </w:rPr>
        <w:t xml:space="preserve">gutbrain_genes</w:t>
      </w:r>
      <w:r>
        <w:t xml:space="preserve"> </w:t>
      </w:r>
      <w:r>
        <w:t xml:space="preserve">dataset.</w:t>
      </w:r>
    </w:p>
    <w:p>
      <w:pPr>
        <w:pStyle w:val="BodyText"/>
      </w:pPr>
      <w:r>
        <w:drawing>
          <wp:inline>
            <wp:extent cx="5334000" cy="3000375"/>
            <wp:effectExtent b="0" l="0" r="0" t="0"/>
            <wp:docPr descr="" title="" id="174" name="Picture"/>
            <a:graphic>
              <a:graphicData uri="http://schemas.openxmlformats.org/drawingml/2006/picture">
                <pic:pic>
                  <pic:nvPicPr>
                    <pic:cNvPr descr="mouse_gutbrain_de_miniCURE_guide_files/figure-docx//1vikcyml6uw-_DaC1yFpS-UWoWNEGxFukMB_eCi42BqY_g374e005048b_0_154.png" id="175" name="Picture"/>
                    <pic:cNvPicPr>
                      <a:picLocks noChangeArrowheads="1" noChangeAspect="1"/>
                    </pic:cNvPicPr>
                  </pic:nvPicPr>
                  <pic:blipFill>
                    <a:blip r:embed="rId1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you did this a couple steps ago when you make the</w:t>
      </w:r>
      <w:r>
        <w:t xml:space="preserve"> </w:t>
      </w:r>
      <w:r>
        <w:t xml:space="preserve">“total_counts”</w:t>
      </w:r>
      <w:r>
        <w:t xml:space="preserve"> </w:t>
      </w:r>
      <w:r>
        <w:t xml:space="preserve">column! You’ll do essentially the same thing, except you’ll tell R to add 0.1 to the</w:t>
      </w:r>
      <w:r>
        <w:t xml:space="preserve"> </w:t>
      </w:r>
      <w:r>
        <w:t xml:space="preserve">“total_counts”</w:t>
      </w:r>
      <w:r>
        <w:t xml:space="preserve"> </w:t>
      </w:r>
      <w:r>
        <w:t xml:space="preserve">column and save that value in a new column called</w:t>
      </w:r>
      <w:r>
        <w:t xml:space="preserve"> </w:t>
      </w:r>
      <w:r>
        <w:t xml:space="preserve">“total_counts_01”</w:t>
      </w:r>
      <w:r>
        <w:t xml:space="preserve">.</w:t>
      </w:r>
    </w:p>
    <w:p>
      <w:pPr>
        <w:pStyle w:val="SourceCode"/>
      </w:pPr>
      <w:r>
        <w:rPr>
          <w:rStyle w:val="NormalTok"/>
        </w:rPr>
        <w:t xml:space="preserve">gutbrain_genes</w:t>
      </w:r>
      <w:r>
        <w:rPr>
          <w:rStyle w:val="SpecialCharTok"/>
        </w:rPr>
        <w:t xml:space="preserve">$</w:t>
      </w:r>
      <w:r>
        <w:rPr>
          <w:rStyle w:val="NormalTok"/>
        </w:rPr>
        <w:t xml:space="preserve">total_counts_01 </w:t>
      </w:r>
      <w:r>
        <w:rPr>
          <w:rStyle w:val="OtherTok"/>
        </w:rPr>
        <w:t xml:space="preserve">&lt;-</w:t>
      </w:r>
      <w:r>
        <w:rPr>
          <w:rStyle w:val="NormalTok"/>
        </w:rPr>
        <w:t xml:space="preserve"> gutbrain_genes</w:t>
      </w:r>
      <w:r>
        <w:rPr>
          <w:rStyle w:val="SpecialCharTok"/>
        </w:rPr>
        <w:t xml:space="preserve">$</w:t>
      </w:r>
      <w:r>
        <w:rPr>
          <w:rStyle w:val="NormalTok"/>
        </w:rPr>
        <w:t xml:space="preserve">total_counts </w:t>
      </w:r>
      <w:r>
        <w:rPr>
          <w:rStyle w:val="SpecialCharTok"/>
        </w:rPr>
        <w:t xml:space="preserve">+</w:t>
      </w:r>
      <w:r>
        <w:rPr>
          <w:rStyle w:val="NormalTok"/>
        </w:rPr>
        <w:t xml:space="preserve"> </w:t>
      </w:r>
      <w:r>
        <w:rPr>
          <w:rStyle w:val="FloatTok"/>
        </w:rPr>
        <w:t xml:space="preserve">0.1</w:t>
      </w:r>
    </w:p>
    <w:p>
      <w:pPr>
        <w:pStyle w:val="FirstParagraph"/>
      </w:pPr>
      <w:r>
        <w:t xml:space="preserve">Now just recreate your histogram using</w:t>
      </w:r>
      <w:r>
        <w:t xml:space="preserve"> </w:t>
      </w:r>
      <w:r>
        <w:t xml:space="preserve">“total_count_01”</w:t>
      </w:r>
      <w:r>
        <w:t xml:space="preserve"> </w:t>
      </w:r>
      <w:r>
        <w:t xml:space="preserve">instead of</w:t>
      </w:r>
      <w:r>
        <w:t xml:space="preserve"> </w:t>
      </w:r>
      <w:r>
        <w:t xml:space="preserve">“total_counts”</w:t>
      </w:r>
      <w:r>
        <w:t xml:space="preserve">.</w:t>
      </w:r>
    </w:p>
    <w:p>
      <w:pPr>
        <w:pStyle w:val="BodyText"/>
      </w:pPr>
      <w:r>
        <w:drawing>
          <wp:inline>
            <wp:extent cx="5334000" cy="3000375"/>
            <wp:effectExtent b="0" l="0" r="0" t="0"/>
            <wp:docPr descr="" title="" id="177" name="Picture"/>
            <a:graphic>
              <a:graphicData uri="http://schemas.openxmlformats.org/drawingml/2006/picture">
                <pic:pic>
                  <pic:nvPicPr>
                    <pic:cNvPr descr="mouse_gutbrain_de_miniCURE_guide_files/figure-docx//1vikcyml6uw-_DaC1yFpS-UWoWNEGxFukMB_eCi42BqY_g374e005048b_0_137.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total_counts_01), </w:t>
      </w:r>
      <w:r>
        <w:rPr>
          <w:rStyle w:val="AttributeTok"/>
        </w:rPr>
        <w:t xml:space="preserve">main=</w:t>
      </w:r>
      <w:r>
        <w:rPr>
          <w:rStyle w:val="StringTok"/>
        </w:rPr>
        <w:t xml:space="preserve">"Transformed Log10 Read Counts for Mouse RNA-seq sample"</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mouse_gutbrain_de_miniCURE_guide_files/figure-docx/unnamed-chunk-5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There’s obviously a lot of variation in expression among genes!</w:t>
      </w:r>
    </w:p>
    <w:bookmarkEnd w:id="182"/>
    <w:bookmarkStart w:id="183" w:name="looking-at-read-count-for-a-single-gene"/>
    <w:p>
      <w:pPr>
        <w:pStyle w:val="Heading3"/>
      </w:pPr>
      <w:r>
        <w:t xml:space="preserve">Looking at read count for a single gene</w:t>
      </w:r>
    </w:p>
    <w:p>
      <w:pPr>
        <w:pStyle w:val="FirstParagraph"/>
      </w:pPr>
      <w:r>
        <w:t xml:space="preserve">You may want to look at the read count for a specific gene in your dataset. This can be done with the</w:t>
      </w:r>
      <w:r>
        <w:t xml:space="preserve"> </w:t>
      </w:r>
      <w:r>
        <w:rPr>
          <w:rStyle w:val="VerbatimChar"/>
        </w:rPr>
        <w:t xml:space="preserve">filter</w:t>
      </w:r>
      <w:r>
        <w:t xml:space="preserve"> </w:t>
      </w:r>
      <w:r>
        <w:t xml:space="preserve">command. Let’s look at the read counts for the Reg3a gene, across all mice. Remember, this is the gene we looked up earlier in the MGI database. The Ensembl gene ID is</w:t>
      </w:r>
      <w:r>
        <w:t xml:space="preserve"> </w:t>
      </w:r>
      <w:r>
        <w:t xml:space="preserve">“ENSMUSG00000079516”</w:t>
      </w:r>
      <w:r>
        <w:t xml:space="preserve">.</w:t>
      </w:r>
    </w:p>
    <w:p>
      <w:pPr>
        <w:pStyle w:val="BodyText"/>
      </w:pPr>
      <w:r>
        <w:t xml:space="preserve">For</w:t>
      </w:r>
      <w:r>
        <w:t xml:space="preserve"> </w:t>
      </w:r>
      <w:r>
        <w:rPr>
          <w:rStyle w:val="VerbatimChar"/>
        </w:rPr>
        <w:t xml:space="preserve">filter</w:t>
      </w:r>
      <w:r>
        <w:t xml:space="preserve">, we need to tell R which dataset to use, and which column to search in.</w:t>
      </w:r>
    </w:p>
    <w:p>
      <w:pPr>
        <w:pStyle w:val="SourceCode"/>
      </w:pPr>
      <w:r>
        <w:rPr>
          <w:rStyle w:val="FunctionTok"/>
        </w:rPr>
        <w:t xml:space="preserve">filter</w:t>
      </w:r>
      <w:r>
        <w:rPr>
          <w:rStyle w:val="NormalTok"/>
        </w:rPr>
        <w:t xml:space="preserve">(gutbrain_genes,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Luckily, we chose a gene that is indeed expressed in the dataset! Making sure yours chosen genes are expressed will be important for our next step.</w:t>
      </w:r>
    </w:p>
    <w:bookmarkEnd w:id="183"/>
    <w:bookmarkStart w:id="230" w:name="Xf9cbf1eeb0795f8c4854a98417e1500006c8521"/>
    <w:p>
      <w:pPr>
        <w:pStyle w:val="Heading3"/>
      </w:pPr>
      <w:r>
        <w:t xml:space="preserve">Visualize gene counts of multiple genes across groups</w:t>
      </w:r>
    </w:p>
    <w:p>
      <w:pPr>
        <w:pStyle w:val="FirstParagraph"/>
      </w:pPr>
      <w:r>
        <w:t xml:space="preserve">We can also look at the differential gene expression of a set of genes at once! This is usually done by creating a</w:t>
      </w:r>
      <w:r>
        <w:t xml:space="preserve"> </w:t>
      </w:r>
      <w:r>
        <w:rPr>
          <w:b/>
          <w:bCs/>
        </w:rPr>
        <w:t xml:space="preserve">heatmap</w:t>
      </w:r>
      <w:r>
        <w:t xml:space="preserve">. In RNA-seq analyses, we usually put individual samples on the x-axis and normalized gene counts on the y-axis.</w:t>
      </w:r>
    </w:p>
    <w:p>
      <w:pPr>
        <w:pStyle w:val="BodyText"/>
      </w:pPr>
      <w:r>
        <w:drawing>
          <wp:inline>
            <wp:extent cx="5334000" cy="3000375"/>
            <wp:effectExtent b="0" l="0" r="0" t="0"/>
            <wp:docPr descr="" title="" id="185" name="Picture"/>
            <a:graphic>
              <a:graphicData uri="http://schemas.openxmlformats.org/drawingml/2006/picture">
                <pic:pic>
                  <pic:nvPicPr>
                    <pic:cNvPr descr="mouse_gutbrain_de_miniCURE_guide_files/figure-docx//1vikcyml6uw-_DaC1yFpS-UWoWNEGxFukMB_eCi42BqY_g33d40c657bf_0_4.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When creating heatmaps, we want to work with a dataset that includes normalized gene expression data for each gene. We loaded a dataset like this above that we called</w:t>
      </w:r>
      <w:r>
        <w:t xml:space="preserve"> </w:t>
      </w:r>
      <w:r>
        <w:rPr>
          <w:rStyle w:val="VerbatimChar"/>
        </w:rPr>
        <w:t xml:space="preserve">gutbrain_genes</w:t>
      </w:r>
      <w:r>
        <w:t xml:space="preserve">. If you don’t have an object in your environment called this, scroll back up to the</w:t>
      </w:r>
      <w:r>
        <w:t xml:space="preserve"> </w:t>
      </w:r>
      <w:r>
        <w:t xml:space="preserve">“</w:t>
      </w:r>
      <w:r>
        <w:rPr>
          <w:b/>
          <w:bCs/>
        </w:rPr>
        <w:t xml:space="preserve">Loading the gene expression count data</w:t>
      </w:r>
      <w:r>
        <w:t xml:space="preserve">”</w:t>
      </w:r>
      <w:r>
        <w:t xml:space="preserve"> </w:t>
      </w:r>
      <w:r>
        <w:t xml:space="preserve">section and run the code again.</w:t>
      </w:r>
    </w:p>
    <w:p>
      <w:pPr>
        <w:pStyle w:val="BodyText"/>
      </w:pPr>
      <w:r>
        <w:t xml:space="preserve">The dataset you loaded has expression data for 55,421 different genes, which is too many to visualize. (You can try, but R will usually throw an error if you do.) In general, though, we are mostly interested in looking at the visualization of a particular group of genes, or a gene set.</w:t>
      </w:r>
    </w:p>
    <w:p>
      <w:pPr>
        <w:pStyle w:val="BodyText"/>
      </w:pPr>
      <w:r>
        <w:t xml:space="preserve">Let’s say we have identified 6 mouse genes that have been linked to the development of motor neurons. We’re interested in whether these genes show differential gene expression between the striatum and the prefrontal cortex. We can use the</w:t>
      </w:r>
      <w:r>
        <w:t xml:space="preserve"> </w:t>
      </w:r>
      <w:r>
        <w:rPr>
          <w:rStyle w:val="VerbatimChar"/>
        </w:rPr>
        <w:t xml:space="preserve">filter</w:t>
      </w:r>
      <w:r>
        <w:t xml:space="preserve"> </w:t>
      </w:r>
      <w:r>
        <w:t xml:space="preserve">command to pull out normalized gene expression data for just these six genes.</w:t>
      </w:r>
    </w:p>
    <w:p>
      <w:pPr>
        <w:pStyle w:val="BodyText"/>
      </w:pPr>
      <w:r>
        <w:t xml:space="preserve">These are the genes (with gene IDs) that we’re including in our gene set:</w:t>
      </w:r>
    </w:p>
    <w:p>
      <w:pPr>
        <w:pStyle w:val="Compact"/>
        <w:numPr>
          <w:ilvl w:val="0"/>
          <w:numId w:val="1003"/>
        </w:numPr>
      </w:pPr>
      <w:r>
        <w:t xml:space="preserve">Sema3a: ENSMUSG00000028883</w:t>
      </w:r>
    </w:p>
    <w:p>
      <w:pPr>
        <w:pStyle w:val="Compact"/>
        <w:numPr>
          <w:ilvl w:val="0"/>
          <w:numId w:val="1003"/>
        </w:numPr>
      </w:pPr>
      <w:r>
        <w:t xml:space="preserve">Mapk8: ENSMUSG00000021936</w:t>
      </w:r>
    </w:p>
    <w:p>
      <w:pPr>
        <w:pStyle w:val="Compact"/>
        <w:numPr>
          <w:ilvl w:val="0"/>
          <w:numId w:val="1003"/>
        </w:numPr>
      </w:pPr>
      <w:r>
        <w:t xml:space="preserve">Nrcam: ENSMUSG00000020598</w:t>
      </w:r>
    </w:p>
    <w:p>
      <w:pPr>
        <w:pStyle w:val="Compact"/>
        <w:numPr>
          <w:ilvl w:val="0"/>
          <w:numId w:val="1003"/>
        </w:numPr>
      </w:pPr>
      <w:r>
        <w:t xml:space="preserve">Dlg4: ENSMUSG00000020886</w:t>
      </w:r>
    </w:p>
    <w:p>
      <w:pPr>
        <w:pStyle w:val="Compact"/>
        <w:numPr>
          <w:ilvl w:val="0"/>
          <w:numId w:val="1003"/>
        </w:numPr>
      </w:pPr>
      <w:r>
        <w:t xml:space="preserve">Slit1: ENSMUSG00000025020</w:t>
      </w:r>
    </w:p>
    <w:p>
      <w:pPr>
        <w:pStyle w:val="Compact"/>
        <w:numPr>
          <w:ilvl w:val="0"/>
          <w:numId w:val="1003"/>
        </w:numPr>
      </w:pPr>
      <w:r>
        <w:t xml:space="preserve">Creb1: ENSMUSG00000025958</w:t>
      </w:r>
    </w:p>
    <w:p>
      <w:pPr>
        <w:pStyle w:val="FirstParagraph"/>
      </w:pPr>
      <w:r>
        <w:t xml:space="preserve">First, create a vector that contains these gene IDs. (You can replace the gene IDs with the ones for your genes of interest, but make sure you use Ensembl gene IDs! They should all start with</w:t>
      </w:r>
      <w:r>
        <w:t xml:space="preserve"> </w:t>
      </w:r>
      <w:r>
        <w:t xml:space="preserve">“ENSMUSG”</w:t>
      </w:r>
      <w:r>
        <w:t xml:space="preserve">.)</w:t>
      </w:r>
    </w:p>
    <w:p>
      <w:pPr>
        <w:pStyle w:val="BodyText"/>
      </w:pPr>
      <w:r>
        <w:drawing>
          <wp:inline>
            <wp:extent cx="5334000" cy="3000375"/>
            <wp:effectExtent b="0" l="0" r="0" t="0"/>
            <wp:docPr descr="" title="" id="188" name="Picture"/>
            <a:graphic>
              <a:graphicData uri="http://schemas.openxmlformats.org/drawingml/2006/picture">
                <pic:pic>
                  <pic:nvPicPr>
                    <pic:cNvPr descr="mouse_gutbrain_de_miniCURE_guide_files/figure-docx//1vikcyml6uw-_DaC1yFpS-UWoWNEGxFukMB_eCi42BqY_g374e005048b_0_200.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Each gene ID should have quotation marks around it, and the different IDs should be separated using a comma.</w:t>
      </w:r>
    </w:p>
    <w:p>
      <w:pPr>
        <w:pStyle w:val="SourceCode"/>
      </w:pP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p>
    <w:p>
      <w:pPr>
        <w:pStyle w:val="FirstParagraph"/>
      </w:pPr>
      <w:r>
        <w:t xml:space="preserve">Now we simply filter the</w:t>
      </w:r>
      <w:r>
        <w:t xml:space="preserve"> </w:t>
      </w:r>
      <w:r>
        <w:rPr>
          <w:rStyle w:val="VerbatimChar"/>
        </w:rPr>
        <w:t xml:space="preserve">gutbrain_genes</w:t>
      </w:r>
      <w:r>
        <w:t xml:space="preserve"> </w:t>
      </w:r>
      <w:r>
        <w:t xml:space="preserve">dataset so that we only keep the rows for the gene IDs in our gene set. Remember, we want to use the</w:t>
      </w:r>
      <w:r>
        <w:t xml:space="preserve"> </w:t>
      </w:r>
      <w:r>
        <w:rPr>
          <w:rStyle w:val="VerbatimChar"/>
        </w:rPr>
        <w:t xml:space="preserve">filter</w:t>
      </w:r>
      <w:r>
        <w:t xml:space="preserve"> </w:t>
      </w:r>
      <w:r>
        <w:t xml:space="preserve">command. The combination of</w:t>
      </w:r>
      <w:r>
        <w:t xml:space="preserve"> </w:t>
      </w:r>
      <w:r>
        <w:rPr>
          <w:rStyle w:val="VerbatimChar"/>
        </w:rPr>
        <w:t xml:space="preserve">filter</w:t>
      </w:r>
      <w:r>
        <w:t xml:space="preserve"> </w:t>
      </w:r>
      <w:r>
        <w:t xml:space="preserve">and</w:t>
      </w:r>
      <w:r>
        <w:t xml:space="preserve"> </w:t>
      </w:r>
      <w:r>
        <w:rPr>
          <w:rStyle w:val="VerbatimChar"/>
        </w:rPr>
        <w:t xml:space="preserve">%in%</w:t>
      </w:r>
      <w:r>
        <w:t xml:space="preserve"> </w:t>
      </w:r>
      <w:r>
        <w:t xml:space="preserve">tells R to only keep those rows in the</w:t>
      </w:r>
      <w:r>
        <w:t xml:space="preserve"> </w:t>
      </w:r>
      <w:r>
        <w:rPr>
          <w:rStyle w:val="VerbatimChar"/>
        </w:rPr>
        <w:t xml:space="preserve">gutbrain_genes</w:t>
      </w:r>
      <w:r>
        <w:t xml:space="preserve"> </w:t>
      </w:r>
      <w:r>
        <w:t xml:space="preserve">dataset if the gene ID is also found in our gene list we made earlier.</w:t>
      </w:r>
    </w:p>
    <w:p>
      <w:pPr>
        <w:pStyle w:val="BodyText"/>
      </w:pPr>
      <w:r>
        <w:drawing>
          <wp:inline>
            <wp:extent cx="5334000" cy="3000375"/>
            <wp:effectExtent b="0" l="0" r="0" t="0"/>
            <wp:docPr descr="" title="" id="191" name="Picture"/>
            <a:graphic>
              <a:graphicData uri="http://schemas.openxmlformats.org/drawingml/2006/picture">
                <pic:pic>
                  <pic:nvPicPr>
                    <pic:cNvPr descr="mouse_gutbrain_de_miniCURE_guide_files/figure-docx//1vikcyml6uw-_DaC1yFpS-UWoWNEGxFukMB_eCi42BqY_g374e005048b_0_213.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p>
    <w:p>
      <w:pPr>
        <w:pStyle w:val="FirstParagraph"/>
      </w:pPr>
      <w:r>
        <w:t xml:space="preserve">Now we have our data subsetted the way we want, but we aren’t quite ready for the heatmap yet. In order for R to make a heatmap from our data, we do have to reformat things a little bit. Right now our data is in</w:t>
      </w:r>
      <w:r>
        <w:t xml:space="preserve"> </w:t>
      </w:r>
      <w:r>
        <w:t xml:space="preserve">“tibble”</w:t>
      </w:r>
      <w:r>
        <w:t xml:space="preserve"> </w:t>
      </w:r>
      <w:r>
        <w:t xml:space="preserve">format, but we want it in a numerical</w:t>
      </w:r>
      <w:r>
        <w:t xml:space="preserve"> </w:t>
      </w:r>
      <w:r>
        <w:t xml:space="preserve">“matrix”</w:t>
      </w:r>
      <w:r>
        <w:t xml:space="preserve"> </w:t>
      </w:r>
      <w:r>
        <w:t xml:space="preserve">format. We can’t switch directly from</w:t>
      </w:r>
      <w:r>
        <w:t xml:space="preserve"> </w:t>
      </w:r>
      <w:r>
        <w:t xml:space="preserve">“tibble”</w:t>
      </w:r>
      <w:r>
        <w:t xml:space="preserve"> </w:t>
      </w:r>
      <w:r>
        <w:t xml:space="preserve">to</w:t>
      </w:r>
      <w:r>
        <w:t xml:space="preserve"> </w:t>
      </w:r>
      <w:r>
        <w:t xml:space="preserve">“matrix”</w:t>
      </w:r>
      <w:r>
        <w:t xml:space="preserve"> </w:t>
      </w:r>
      <w:r>
        <w:t xml:space="preserve">(because the GeneID column is character data, not numerical data). Instead, let’s first convert from</w:t>
      </w:r>
      <w:r>
        <w:t xml:space="preserve"> </w:t>
      </w:r>
      <w:r>
        <w:t xml:space="preserve">“tibble”</w:t>
      </w:r>
      <w:r>
        <w:t xml:space="preserve"> </w:t>
      </w:r>
      <w:r>
        <w:t xml:space="preserve">to a format called</w:t>
      </w:r>
      <w:r>
        <w:t xml:space="preserve"> </w:t>
      </w:r>
      <w:r>
        <w:t xml:space="preserve">“dataframe”</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mouse_gutbrain_de_miniCURE_guide_files/figure-docx//1vikcyml6uw-_DaC1yFpS-UWoWNEGxFukMB_eCi42BqY_g374e005048b_0_226.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p>
    <w:p>
      <w:pPr>
        <w:pStyle w:val="FirstParagraph"/>
      </w:pPr>
      <w:r>
        <w:t xml:space="preserve">To our eyes, not much has changed in the format, but it’s very different to R. Now we’re going to tell R to name the rows based on the</w:t>
      </w:r>
      <w:r>
        <w:t xml:space="preserve"> </w:t>
      </w:r>
      <w:r>
        <w:t xml:space="preserve">“GeneID”</w:t>
      </w:r>
      <w:r>
        <w:t xml:space="preserve"> </w:t>
      </w:r>
      <w:r>
        <w:t xml:space="preserve">column.</w:t>
      </w:r>
    </w:p>
    <w:p>
      <w:pPr>
        <w:pStyle w:val="BodyText"/>
      </w:pPr>
      <w:r>
        <w:drawing>
          <wp:inline>
            <wp:extent cx="5334000" cy="3000375"/>
            <wp:effectExtent b="0" l="0" r="0" t="0"/>
            <wp:docPr descr="" title="" id="197" name="Picture"/>
            <a:graphic>
              <a:graphicData uri="http://schemas.openxmlformats.org/drawingml/2006/picture">
                <pic:pic>
                  <pic:nvPicPr>
                    <pic:cNvPr descr="mouse_gutbrain_de_miniCURE_guide_files/figure-docx//1vikcyml6uw-_DaC1yFpS-UWoWNEGxFukMB_eCi42BqY_g374e005048b_0_254.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are also going to delete the current</w:t>
      </w:r>
      <w:r>
        <w:t xml:space="preserve"> </w:t>
      </w:r>
      <w:r>
        <w:t xml:space="preserve">“GeneID”</w:t>
      </w:r>
      <w:r>
        <w:t xml:space="preserve"> </w:t>
      </w:r>
      <w:r>
        <w:t xml:space="preserve">column because we no longer need it, as well as the two columns we created earlier,</w:t>
      </w:r>
      <w:r>
        <w:t xml:space="preserve"> </w:t>
      </w:r>
      <w:r>
        <w:t xml:space="preserve">“total_counts”</w:t>
      </w:r>
      <w:r>
        <w:t xml:space="preserve"> </w:t>
      </w:r>
      <w:r>
        <w:t xml:space="preserve">and</w:t>
      </w:r>
      <w:r>
        <w:t xml:space="preserve"> </w:t>
      </w:r>
      <w:r>
        <w:t xml:space="preserve">“total_counts_01”</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ouse_gutbrain_de_miniCURE_guide_files/figure-docx//1vikcyml6uw-_DaC1yFpS-UWoWNEGxFukMB_eCi42BqY_g374e005048b_0_27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total_counts_01 </w:t>
      </w:r>
      <w:r>
        <w:rPr>
          <w:rStyle w:val="OtherTok"/>
        </w:rPr>
        <w:t xml:space="preserve">&lt;-</w:t>
      </w:r>
      <w:r>
        <w:rPr>
          <w:rStyle w:val="NormalTok"/>
        </w:rPr>
        <w:t xml:space="preserve"> </w:t>
      </w:r>
      <w:r>
        <w:rPr>
          <w:rStyle w:val="ConstantTok"/>
        </w:rPr>
        <w:t xml:space="preserve">NULL</w:t>
      </w:r>
    </w:p>
    <w:p>
      <w:pPr>
        <w:pStyle w:val="FirstParagraph"/>
      </w:pPr>
      <w:r>
        <w:t xml:space="preserve">Great! Now we can change the format of</w:t>
      </w:r>
      <w:r>
        <w:t xml:space="preserve"> </w:t>
      </w:r>
      <w:r>
        <w:rPr>
          <w:rStyle w:val="VerbatimChar"/>
        </w:rPr>
        <w:t xml:space="preserve">gutbrain_motor_controls</w:t>
      </w:r>
      <w:r>
        <w:t xml:space="preserve"> </w:t>
      </w:r>
      <w:r>
        <w:t xml:space="preserve">dataset to</w:t>
      </w:r>
      <w:r>
        <w:t xml:space="preserve"> </w:t>
      </w:r>
      <w:r>
        <w:t xml:space="preserve">“matrix”</w:t>
      </w:r>
      <w:r>
        <w:t xml:space="preserve"> </w:t>
      </w:r>
      <w:r>
        <w:t xml:space="preserve">format in order to make our heatmap using the</w:t>
      </w:r>
      <w:r>
        <w:t xml:space="preserve"> </w:t>
      </w:r>
      <w:r>
        <w:rPr>
          <w:rStyle w:val="VerbatimChar"/>
        </w:rPr>
        <w:t xml:space="preserve">heatmap</w:t>
      </w:r>
      <w:r>
        <w:t xml:space="preserve"> </w:t>
      </w:r>
      <w:r>
        <w:t xml:space="preserve">function.</w:t>
      </w:r>
    </w:p>
    <w:p>
      <w:pPr>
        <w:pStyle w:val="BodyText"/>
      </w:pPr>
      <w:r>
        <w:drawing>
          <wp:inline>
            <wp:extent cx="5334000" cy="3000375"/>
            <wp:effectExtent b="0" l="0" r="0" t="0"/>
            <wp:docPr descr="" title="" id="203" name="Picture"/>
            <a:graphic>
              <a:graphicData uri="http://schemas.openxmlformats.org/drawingml/2006/picture">
                <pic:pic>
                  <pic:nvPicPr>
                    <pic:cNvPr descr="mouse_gutbrain_de_miniCURE_guide_files/figure-docx//1vikcyml6uw-_DaC1yFpS-UWoWNEGxFukMB_eCi42BqY_g374e005048b_0_3.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FunctionTok"/>
        </w:rPr>
        <w:t xml:space="preserve">heatmap</w:t>
      </w:r>
      <w:r>
        <w:rPr>
          <w:rStyle w:val="NormalTok"/>
        </w:rPr>
        <w:t xml:space="preserve">(gutbrain_motor)</w:t>
      </w:r>
    </w:p>
    <w:p>
      <w:pPr>
        <w:pStyle w:val="FirstParagraph"/>
      </w:pPr>
      <w:r>
        <w:drawing>
          <wp:inline>
            <wp:extent cx="4620126" cy="3696101"/>
            <wp:effectExtent b="0" l="0" r="0" t="0"/>
            <wp:docPr descr="" title="" id="206" name="Picture"/>
            <a:graphic>
              <a:graphicData uri="http://schemas.openxmlformats.org/drawingml/2006/picture">
                <pic:pic>
                  <pic:nvPicPr>
                    <pic:cNvPr descr="mouse_gutbrain_de_miniCURE_guide_files/figure-docx/unnamed-chunk-64-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Congratulations, you have just created a heatmap! The map itself is a series of stacked boxes. Each square within the heatmap represents the gene count for a particular gene in a particular sample. By default squares with the high gene counts are colored dark red. Squares with the lowest gene counts are colored pale yellow.</w:t>
      </w:r>
    </w:p>
    <w:p>
      <w:pPr>
        <w:pStyle w:val="BodyText"/>
      </w:pPr>
      <w:r>
        <w:t xml:space="preserve">By default, R will order the samples (what we have on the x-axis across the bottom) in a way that clusters similar samples together. This is why we see columns of lighter yellow in the center of the heatmap, with darker orange and red columns on the edges. This suggests that there are groups of samples that have higher gene expression, but it’s hard to tell right now if these groups correspond to the prefrontal cortex vs striatum (which is what we’re interested in). It would be helpful if we could tell R to group based on prefrontal cortex vs striatum instead.</w:t>
      </w:r>
    </w:p>
    <w:p>
      <w:pPr>
        <w:pStyle w:val="BodyText"/>
      </w:pPr>
      <w:r>
        <w:t xml:space="preserve">Luckily, this is possible! Our dataset is already in the order we want (with all the prefrontal cortex samples first). We can just tell R to use the default ordering of the dataset instead of clustering and rearranging the x-axis.</w:t>
      </w:r>
    </w:p>
    <w:p>
      <w:pPr>
        <w:pStyle w:val="BodyText"/>
      </w:pPr>
      <w:r>
        <w:drawing>
          <wp:inline>
            <wp:extent cx="5334000" cy="3000375"/>
            <wp:effectExtent b="0" l="0" r="0" t="0"/>
            <wp:docPr descr="" title="" id="209" name="Picture"/>
            <a:graphic>
              <a:graphicData uri="http://schemas.openxmlformats.org/drawingml/2006/picture">
                <pic:pic>
                  <pic:nvPicPr>
                    <pic:cNvPr descr="mouse_gutbrain_de_miniCURE_guide_files/figure-docx//1vikcyml6uw-_DaC1yFpS-UWoWNEGxFukMB_eCi42BqY_g374e005048b_0_24.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are the samples in my dataset ordered?</w:t>
            </w:r>
          </w:p>
        </w:tc>
      </w:tr>
      <w:tr>
        <w:trPr>
          <w:cantSplit/>
        </w:trPr>
        <w:tc>
          <w:tcPr>
            <w:tcMar>
              <w:top w:w="108" w:type="dxa"/>
              <w:bottom w:w="108" w:type="dxa"/>
            </w:tcMar>
          </w:tcPr>
          <w:p>
            <w:pPr>
              <w:pStyle w:val="BodyText"/>
            </w:pPr>
            <w:pPr>
              <w:spacing w:before="16"/>
            </w:pPr>
            <w:r>
              <w:t xml:space="preserve">When these datasets were made, the samples were ordered in a specific way so that you could easily make your heatmaps.</w:t>
            </w:r>
          </w:p>
          <w:p>
            <w:pPr>
              <w:pStyle w:val="BodyText"/>
            </w:pPr>
            <w:r>
              <w:rPr>
                <w:i/>
                <w:iCs/>
              </w:rPr>
              <w:t xml:space="preserve">Only control-type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ASD-type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prefrontal cortex samples</w:t>
            </w:r>
            <w:r>
              <w:t xml:space="preserve"> </w:t>
            </w:r>
            <w:r>
              <w:t xml:space="preserve">(contains both ASD-type and control-type mice; two mice types, only one brain region): ASD-type samples first, then control-type samples</w:t>
            </w:r>
          </w:p>
          <w:p>
            <w:pPr>
              <w:pStyle w:val="BodyText"/>
            </w:pPr>
            <w:r>
              <w:rPr>
                <w:i/>
                <w:iCs/>
              </w:rPr>
              <w:t xml:space="preserve">Only striatum samples</w:t>
            </w:r>
            <w:r>
              <w:t xml:space="preserve"> </w:t>
            </w:r>
            <w:r>
              <w:t xml:space="preserve">(contains both ASD-type and control-type mice; two mice types, only one brain region): ASD-type samples first, then control-type samples</w:t>
            </w:r>
          </w:p>
          <w:p>
            <w:pPr>
              <w:pStyle w:val="BodyText"/>
            </w:pPr>
            <w:pPr>
              <w:spacing w:after="16"/>
            </w:pPr>
            <w:r>
              <w:t xml:space="preserve">But if you ever want to verify the details for a particular sample, you can check out the metadata! This is the data (or information)</w:t>
            </w:r>
            <w:r>
              <w:t xml:space="preserve"> </w:t>
            </w:r>
            <w:r>
              <w:rPr>
                <w:i/>
                <w:iCs/>
              </w:rPr>
              <w:t xml:space="preserve">about</w:t>
            </w:r>
            <w:r>
              <w:t xml:space="preserve"> </w:t>
            </w:r>
            <w:r>
              <w:t xml:space="preserve">each of the samples. The metadata is stored at &lt;mouse_gutbrain_metadata.csv&gt;. You can load it into R using</w:t>
            </w:r>
            <w:r>
              <w:t xml:space="preserve"> </w:t>
            </w:r>
            <w:r>
              <w:rPr>
                <w:rStyle w:val="VerbatimChar"/>
              </w:rPr>
              <w:t xml:space="preserve">read_csv</w:t>
            </w:r>
            <w:r>
              <w:t xml:space="preserve">.</w:t>
            </w:r>
          </w:p>
          <w:p/>
        </w:tc>
      </w:tr>
    </w:tbl>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mouse_gutbrain_de_miniCURE_guide_files/figure-docx/unnamed-chunk-66-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Perfect! Now we can easily see that four of our six genes seem to be expressed in lower levels by the samples on the right side of the heatmap (the striatum samples), while one gene is expressed in higher levels by the striatum. This is definitely intriguing!</w:t>
      </w:r>
    </w:p>
    <w:p>
      <w:pPr>
        <w:pStyle w:val="BodyText"/>
      </w:pPr>
      <w:r>
        <w:t xml:space="preserve">Notice that not all the striatum samples have the same expression for each gene. This is normal variation and could be due to actual difference in gene expression levels or be the result of laboratory methods.</w:t>
      </w:r>
    </w:p>
    <w:p>
      <w:pPr>
        <w:pStyle w:val="BodyText"/>
      </w:pPr>
      <w:r>
        <w:t xml:space="preserve">Finally, we can customize the heatmap by changing the color scheme and adding a title. As as example, we’re going to tell R to make a spectrum of colors between white and blue, with white indicating the lowest expression and blue indicating the highest expression, and 16 possible color categories. (We are also adding a title to the heatmap.)</w:t>
      </w:r>
    </w:p>
    <w:p>
      <w:pPr>
        <w:pStyle w:val="BodyText"/>
      </w:pPr>
      <w:r>
        <w:drawing>
          <wp:inline>
            <wp:extent cx="5334000" cy="3000375"/>
            <wp:effectExtent b="0" l="0" r="0" t="0"/>
            <wp:docPr descr="" title="" id="218" name="Picture"/>
            <a:graphic>
              <a:graphicData uri="http://schemas.openxmlformats.org/drawingml/2006/picture">
                <pic:pic>
                  <pic:nvPicPr>
                    <pic:cNvPr descr="mouse_gutbrain_de_miniCURE_guide_files/figure-docx//1vikcyml6uw-_DaC1yFpS-UWoWNEGxFukMB_eCi42BqY_g36f913be5dc_0_6.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r>
        <w:t xml:space="preserve"> </w:t>
      </w:r>
      <w:r>
        <w:rPr>
          <w:b/>
          <w:bCs/>
        </w:rPr>
        <w:t xml:space="preserve">The general convention in biology is that the lightest colors on a heatmap indicate the lowest values.</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2" name="Picture"/>
            <a:graphic>
              <a:graphicData uri="http://schemas.openxmlformats.org/drawingml/2006/picture">
                <pic:pic>
                  <pic:nvPicPr>
                    <pic:cNvPr descr="mouse_gutbrain_de_miniCURE_guide_files/figure-docx/unnamed-chunk-68-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Right now we have all the genes identified by the Ensembl gene IDs. Most people have trouble looking at these gene IDs and knowing exactly what gene it represents. We can change the in our dataset using the</w:t>
      </w:r>
      <w:r>
        <w:t xml:space="preserve"> </w:t>
      </w:r>
      <w:r>
        <w:rPr>
          <w:rStyle w:val="VerbatimChar"/>
        </w:rPr>
        <w:t xml:space="preserve">case_when</w:t>
      </w:r>
      <w:r>
        <w:t xml:space="preserve"> </w:t>
      </w:r>
      <w:r>
        <w:t xml:space="preserve">command in R.</w:t>
      </w:r>
    </w:p>
    <w:p>
      <w:pPr>
        <w:pStyle w:val="BodyText"/>
      </w:pPr>
      <w:r>
        <w:drawing>
          <wp:inline>
            <wp:extent cx="5334000" cy="3000375"/>
            <wp:effectExtent b="0" l="0" r="0" t="0"/>
            <wp:docPr descr="" title="" id="225" name="Picture"/>
            <a:graphic>
              <a:graphicData uri="http://schemas.openxmlformats.org/drawingml/2006/picture">
                <pic:pic>
                  <pic:nvPicPr>
                    <pic:cNvPr descr="mouse_gutbrain_de_miniCURE_guide_files/figure-docx//1vikcyml6uw-_DaC1yFpS-UWoWNEGxFukMB_eCi42BqY_g3768ce87575_0_66.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"ENSMUSG00000028883"</w:t>
      </w:r>
      <w:r>
        <w:rPr>
          <w:rStyle w:val="NormalTok"/>
        </w:rPr>
        <w:t xml:space="preserve"> </w:t>
      </w:r>
      <w:r>
        <w:rPr>
          <w:rStyle w:val="SpecialCharTok"/>
        </w:rPr>
        <w:t xml:space="preserve">~</w:t>
      </w:r>
      <w:r>
        <w:rPr>
          <w:rStyle w:val="NormalTok"/>
        </w:rPr>
        <w:t xml:space="preserve"> </w:t>
      </w:r>
      <w:r>
        <w:rPr>
          <w:rStyle w:val="StringTok"/>
        </w:rPr>
        <w:t xml:space="preserve">"Sema3a"</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"ENSMUSG00000021936"</w:t>
      </w:r>
      <w:r>
        <w:rPr>
          <w:rStyle w:val="NormalTok"/>
        </w:rPr>
        <w:t xml:space="preserve"> </w:t>
      </w:r>
      <w:r>
        <w:rPr>
          <w:rStyle w:val="SpecialCharTok"/>
        </w:rPr>
        <w:t xml:space="preserve">~</w:t>
      </w:r>
      <w:r>
        <w:rPr>
          <w:rStyle w:val="NormalTok"/>
        </w:rPr>
        <w:t xml:space="preserve"> </w:t>
      </w:r>
      <w:r>
        <w:rPr>
          <w:rStyle w:val="StringTok"/>
        </w:rPr>
        <w:t xml:space="preserve">"Mapk8"</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"ENSMUSG00000020598"</w:t>
      </w:r>
      <w:r>
        <w:rPr>
          <w:rStyle w:val="NormalTok"/>
        </w:rPr>
        <w:t xml:space="preserve"> </w:t>
      </w:r>
      <w:r>
        <w:rPr>
          <w:rStyle w:val="SpecialCharTok"/>
        </w:rPr>
        <w:t xml:space="preserve">~</w:t>
      </w:r>
      <w:r>
        <w:rPr>
          <w:rStyle w:val="NormalTok"/>
        </w:rPr>
        <w:t xml:space="preserve"> </w:t>
      </w:r>
      <w:r>
        <w:rPr>
          <w:rStyle w:val="StringTok"/>
        </w:rPr>
        <w:t xml:space="preserve">"Nrcam"</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"ENSMUSG00000020886"</w:t>
      </w:r>
      <w:r>
        <w:rPr>
          <w:rStyle w:val="NormalTok"/>
        </w:rPr>
        <w:t xml:space="preserve"> </w:t>
      </w:r>
      <w:r>
        <w:rPr>
          <w:rStyle w:val="SpecialCharTok"/>
        </w:rPr>
        <w:t xml:space="preserve">~</w:t>
      </w:r>
      <w:r>
        <w:rPr>
          <w:rStyle w:val="NormalTok"/>
        </w:rPr>
        <w:t xml:space="preserve"> </w:t>
      </w:r>
      <w:r>
        <w:rPr>
          <w:rStyle w:val="StringTok"/>
        </w:rPr>
        <w:t xml:space="preserve">"Dlg4"</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"ENSMUSG00000025020"</w:t>
      </w:r>
      <w:r>
        <w:rPr>
          <w:rStyle w:val="NormalTok"/>
        </w:rPr>
        <w:t xml:space="preserve"> </w:t>
      </w:r>
      <w:r>
        <w:rPr>
          <w:rStyle w:val="SpecialCharTok"/>
        </w:rPr>
        <w:t xml:space="preserve">~</w:t>
      </w:r>
      <w:r>
        <w:rPr>
          <w:rStyle w:val="NormalTok"/>
        </w:rPr>
        <w:t xml:space="preserve"> </w:t>
      </w:r>
      <w:r>
        <w:rPr>
          <w:rStyle w:val="StringTok"/>
        </w:rPr>
        <w:t xml:space="preserve">"Slit1"</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"ENSMUSG00000025958"</w:t>
      </w:r>
      <w:r>
        <w:rPr>
          <w:rStyle w:val="NormalTok"/>
        </w:rPr>
        <w:t xml:space="preserve"> </w:t>
      </w:r>
      <w:r>
        <w:rPr>
          <w:rStyle w:val="SpecialCharTok"/>
        </w:rPr>
        <w:t xml:space="preserve">~</w:t>
      </w:r>
      <w:r>
        <w:rPr>
          <w:rStyle w:val="NormalTok"/>
        </w:rPr>
        <w:t xml:space="preserve"> </w:t>
      </w:r>
      <w:r>
        <w:rPr>
          <w:rStyle w:val="StringTok"/>
        </w:rPr>
        <w:t xml:space="preserve">"Creb1"</w:t>
      </w:r>
      <w:r>
        <w:br/>
      </w:r>
      <w:r>
        <w:rPr>
          <w:rStyle w:val="NormalTok"/>
        </w:rPr>
        <w:t xml:space="preserve">)</w:t>
      </w:r>
    </w:p>
    <w:p>
      <w:pPr>
        <w:pStyle w:val="FirstParagraph"/>
      </w:pPr>
      <w:r>
        <w:t xml:space="preserve">Now we can run our heatmap code again.</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mouse_gutbrain_de_miniCURE_guide_files/figure-docx/unnamed-chunk-71-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here’s all the code you just ran to create your heatmap in one place, in case you want to run it again.</w:t>
      </w:r>
    </w:p>
    <w:p>
      <w:pPr>
        <w:pStyle w:val="SourceCode"/>
      </w:pPr>
      <w:r>
        <w:rPr>
          <w:rStyle w:val="CommentTok"/>
        </w:rPr>
        <w:t xml:space="preserve">#define your geneset and make a vector</w:t>
      </w:r>
      <w:r>
        <w:br/>
      </w: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r>
        <w:br/>
      </w:r>
      <w:r>
        <w:br/>
      </w:r>
      <w:r>
        <w:rPr>
          <w:rStyle w:val="CommentTok"/>
        </w:rPr>
        <w:t xml:space="preserve">#create new dataset that only include expression data for your geneset</w:t>
      </w:r>
      <w:r>
        <w:br/>
      </w: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r>
        <w:br/>
      </w:r>
      <w:r>
        <w:br/>
      </w:r>
      <w:r>
        <w:rPr>
          <w:rStyle w:val="CommentTok"/>
        </w:rPr>
        <w:t xml:space="preserve">#change format of dataset from "tibble" to "matrix"</w:t>
      </w:r>
      <w:r>
        <w:br/>
      </w: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r>
        <w:br/>
      </w: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CommentTok"/>
        </w:rPr>
        <w:t xml:space="preserve">#create heatmap with custom colors and title</w:t>
      </w:r>
      <w:r>
        <w:br/>
      </w: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bookmarkEnd w:id="230"/>
    <w:bookmarkEnd w:id="231"/>
    <w:bookmarkStart w:id="276" w:name="Xde88352fd3ff63dcb596d9d92c76cc10789b88b"/>
    <w:p>
      <w:pPr>
        <w:pStyle w:val="Heading2"/>
      </w:pPr>
      <w:r>
        <w:t xml:space="preserve">Exploring the differential expression data</w:t>
      </w:r>
    </w:p>
    <w:p>
      <w:pPr>
        <w:pStyle w:val="FirstParagraph"/>
      </w:pPr>
      <w:r>
        <w:t xml:space="preserve">Now let’s look a differential expression dataset, which compares gene expression counts between two groups. This dataset gives us an idea how the change in a gene’s expression might be associated with a disorder or a cell type. This is particularly useful for beginning to map the genetic drivers of a particular phenotype.</w:t>
      </w:r>
    </w:p>
    <w:bookmarkStart w:id="232" w:name="package-install-and-load-1"/>
    <w:p>
      <w:pPr>
        <w:pStyle w:val="Heading3"/>
      </w:pPr>
      <w:r>
        <w:t xml:space="preserve">Package Install and Load</w:t>
      </w:r>
    </w:p>
    <w:p>
      <w:pPr>
        <w:pStyle w:val="FirstParagraph"/>
      </w:pPr>
      <w:r>
        <w:t xml:space="preserve">Before you start, make sure to load the</w:t>
      </w:r>
      <w:r>
        <w:t xml:space="preserve"> </w:t>
      </w:r>
      <w:r>
        <w:rPr>
          <w:rStyle w:val="VerbatimChar"/>
        </w:rPr>
        <w:t xml:space="preserve">tidyverse</w:t>
      </w:r>
      <w:r>
        <w:t xml:space="preserve"> </w:t>
      </w:r>
      <w:r>
        <w:t xml:space="preserve">package! You should still have it installed from last time.</w:t>
      </w:r>
    </w:p>
    <w:p>
      <w:pPr>
        <w:pStyle w:val="SourceCode"/>
      </w:pPr>
      <w:r>
        <w:rPr>
          <w:rStyle w:val="FunctionTok"/>
        </w:rPr>
        <w:t xml:space="preserve">library</w:t>
      </w:r>
      <w:r>
        <w:rPr>
          <w:rStyle w:val="NormalTok"/>
        </w:rPr>
        <w:t xml:space="preserve">(tidyverse)</w:t>
      </w:r>
    </w:p>
    <w:bookmarkEnd w:id="232"/>
    <w:bookmarkStart w:id="241" w:name="loading-the-differential-expression-data"/>
    <w:p>
      <w:pPr>
        <w:pStyle w:val="Heading3"/>
      </w:pPr>
      <w:r>
        <w:t xml:space="preserve">Loading the differential expression data</w:t>
      </w:r>
    </w:p>
    <w:p>
      <w:pPr>
        <w:pStyle w:val="FirstParagraph"/>
      </w:pPr>
      <w:r>
        <w:t xml:space="preserve">Let’s say you want to open the dataset that compares gene expression between ASD and control mice in both brain regions and call it</w:t>
      </w:r>
      <w:r>
        <w:t xml:space="preserve"> </w:t>
      </w:r>
      <w:r>
        <w:rPr>
          <w:rStyle w:val="VerbatimChar"/>
        </w:rPr>
        <w:t xml:space="preserve">asd_vs_c</w:t>
      </w:r>
      <w:r>
        <w:t xml:space="preserve">. We will do this using</w:t>
      </w:r>
      <w:r>
        <w:t xml:space="preserve"> </w:t>
      </w:r>
      <w:r>
        <w:rPr>
          <w:rStyle w:val="VerbatimChar"/>
        </w:rPr>
        <w:t xml:space="preserve">read_csv</w:t>
      </w:r>
      <w:r>
        <w:t xml:space="preserve">. Copy and paste this command into your console:</w:t>
      </w:r>
    </w:p>
    <w:p>
      <w:pPr>
        <w:pStyle w:val="SourceCode"/>
      </w:pPr>
      <w:r>
        <w:rPr>
          <w:rStyle w:val="NormalTok"/>
        </w:rPr>
        <w:t xml:space="preserve">asd_vs_c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Here are the URLs for all the possible comparisons you can examine with this dataset:</w:t>
      </w:r>
    </w:p>
    <w:p>
      <w:pPr>
        <w:pStyle w:val="BodyText"/>
      </w:pPr>
      <w:r>
        <w:rPr>
          <w:b/>
          <w:bCs/>
        </w:rPr>
        <w:t xml:space="preserve">Comparing gene expression between ASD and control mice</w:t>
      </w:r>
    </w:p>
    <w:p>
      <w:pPr>
        <w:pStyle w:val="BodyText"/>
      </w:pPr>
      <w:r>
        <w:t xml:space="preserve">Both brain regions:</w:t>
      </w:r>
      <w:r>
        <w:t xml:space="preserve"> </w:t>
      </w:r>
      <w:hyperlink r:id="rId233">
        <w:r>
          <w:rPr>
            <w:rStyle w:val="Hyperlink"/>
          </w:rPr>
          <w:t xml:space="preserve">https://genomicseducation.org/data/mouse_gutbrain_de_autismVcontrol.csv</w:t>
        </w:r>
      </w:hyperlink>
    </w:p>
    <w:p>
      <w:pPr>
        <w:pStyle w:val="BodyText"/>
      </w:pPr>
      <w:r>
        <w:t xml:space="preserve">Prefrontal cortex only:</w:t>
      </w:r>
      <w:r>
        <w:t xml:space="preserve"> </w:t>
      </w:r>
      <w:hyperlink r:id="rId234">
        <w:r>
          <w:rPr>
            <w:rStyle w:val="Hyperlink"/>
          </w:rPr>
          <w:t xml:space="preserve">https://genomicseducation.org/data/mouse_gutbrain_de_autismVcontrol_in_prefrontalcortex.csv</w:t>
        </w:r>
      </w:hyperlink>
    </w:p>
    <w:p>
      <w:pPr>
        <w:pStyle w:val="BodyText"/>
      </w:pPr>
      <w:r>
        <w:t xml:space="preserve">Striatum only:</w:t>
      </w:r>
      <w:r>
        <w:t xml:space="preserve"> </w:t>
      </w:r>
      <w:hyperlink r:id="rId235">
        <w:r>
          <w:rPr>
            <w:rStyle w:val="Hyperlink"/>
          </w:rPr>
          <w:t xml:space="preserve">https://genomicseducation.org/data/mouse_gutbrain_de_autismVcontrol_in_striatum.csv</w:t>
        </w:r>
      </w:hyperlink>
    </w:p>
    <w:p>
      <w:pPr>
        <w:pStyle w:val="BodyText"/>
      </w:pPr>
      <w:r>
        <w:rPr>
          <w:b/>
          <w:bCs/>
        </w:rPr>
        <w:t xml:space="preserve">Comparing gene expression between prefrontal cortex and striatum</w:t>
      </w:r>
    </w:p>
    <w:p>
      <w:pPr>
        <w:pStyle w:val="BodyText"/>
      </w:pPr>
      <w:r>
        <w:t xml:space="preserve">All mice:</w:t>
      </w:r>
      <w:r>
        <w:t xml:space="preserve"> </w:t>
      </w:r>
      <w:hyperlink r:id="rId236">
        <w:r>
          <w:rPr>
            <w:rStyle w:val="Hyperlink"/>
          </w:rPr>
          <w:t xml:space="preserve">https://genomicseducation.org/data/mouse_gutbrain_de_tissuetype.csv</w:t>
        </w:r>
      </w:hyperlink>
    </w:p>
    <w:p>
      <w:pPr>
        <w:pStyle w:val="BodyText"/>
      </w:pPr>
      <w:r>
        <w:t xml:space="preserve">Only ASD mice:</w:t>
      </w:r>
      <w:r>
        <w:t xml:space="preserve"> </w:t>
      </w:r>
      <w:hyperlink r:id="rId237">
        <w:r>
          <w:rPr>
            <w:rStyle w:val="Hyperlink"/>
          </w:rPr>
          <w:t xml:space="preserve">https://genomicseducation.org/data/mouse_gutbrain_de_tissuetype_in_ASDmice.csv</w:t>
        </w:r>
      </w:hyperlink>
    </w:p>
    <w:p>
      <w:pPr>
        <w:pStyle w:val="BodyText"/>
      </w:pPr>
      <w:r>
        <w:t xml:space="preserve">Only control mice:</w:t>
      </w:r>
      <w:r>
        <w:t xml:space="preserve"> </w:t>
      </w:r>
      <w:hyperlink r:id="rId238">
        <w:r>
          <w:rPr>
            <w:rStyle w:val="Hyperlink"/>
          </w:rPr>
          <w:t xml:space="preserve">https://genomicseducation.org/data/mouse_gutbrain_de_tissuetype_in_controlmice.csv</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differential expression dataset should I use?</w:t>
            </w:r>
          </w:p>
        </w:tc>
      </w:tr>
      <w:tr>
        <w:trPr>
          <w:cantSplit/>
        </w:trPr>
        <w:tc>
          <w:tcPr>
            <w:tcMar>
              <w:top w:w="108" w:type="dxa"/>
              <w:bottom w:w="108" w:type="dxa"/>
            </w:tcMar>
          </w:tcPr>
          <w:p>
            <w:pPr>
              <w:pStyle w:val="BodyText"/>
            </w:pPr>
            <w:pPr>
              <w:spacing w:before="16"/>
            </w:pPr>
            <w:r>
              <w:t xml:space="preserve">Are you mostly interested in how gene expression differs between the two brain regions? Are you interested in how neurons develop, or how groups of genes involved in movement might be expressed differently in two different regions? These sorts of questions are best to explore using</w:t>
            </w:r>
            <w:r>
              <w:t xml:space="preserve"> </w:t>
            </w:r>
            <w:r>
              <w:rPr>
                <w:b/>
                <w:bCs/>
              </w:rPr>
              <w:t xml:space="preserve">striatum and prefrontal cortex</w:t>
            </w:r>
            <w:r>
              <w:t xml:space="preserve"> </w:t>
            </w:r>
            <w:r>
              <w:t xml:space="preserve">comparisons.</w:t>
            </w:r>
          </w:p>
          <w:p>
            <w:pPr>
              <w:pStyle w:val="BodyText"/>
            </w:pPr>
            <w:pPr>
              <w:spacing w:after="16"/>
            </w:pPr>
            <w:r>
              <w:t xml:space="preserve">Are you really curious about differential expression in Autism Spectrum Disorder-type mice compared to control-type mice? Are you curious about potential associations between gene expression differences in known neurodevelopmental or neurodegenerative genes? These questions and others can be explored using the</w:t>
            </w:r>
            <w:r>
              <w:t xml:space="preserve"> </w:t>
            </w:r>
            <w:r>
              <w:rPr>
                <w:b/>
                <w:bCs/>
              </w:rPr>
              <w:t xml:space="preserve">ASD-type mice and control-type mice</w:t>
            </w:r>
            <w:r>
              <w:t xml:space="preserve"> </w:t>
            </w:r>
            <w:r>
              <w:t xml:space="preserve">comparisons.</w:t>
            </w:r>
          </w:p>
          <w:p/>
        </w:tc>
      </w:tr>
    </w:tbl>
    <w:p>
      <w:pPr>
        <w:pStyle w:val="BodyText"/>
      </w:pPr>
      <w:r>
        <w:t xml:space="preserve">When you open the differential expression dataset, you’ll notice some new column names. The ones you want to pay attention to are</w:t>
      </w:r>
      <w:r>
        <w:t xml:space="preserve"> </w:t>
      </w:r>
      <w:r>
        <w:rPr>
          <w:b/>
          <w:bCs/>
        </w:rPr>
        <w:t xml:space="preserve">gene</w:t>
      </w:r>
      <w:r>
        <w:t xml:space="preserve">,</w:t>
      </w:r>
      <w:r>
        <w:t xml:space="preserve"> </w:t>
      </w:r>
      <w:r>
        <w:rPr>
          <w:b/>
          <w:bCs/>
        </w:rPr>
        <w:t xml:space="preserve">log2FoldChange</w:t>
      </w:r>
      <w:r>
        <w:t xml:space="preserve">, and</w:t>
      </w:r>
      <w:r>
        <w:t xml:space="preserve"> </w:t>
      </w:r>
      <w:r>
        <w:rPr>
          <w:b/>
          <w:bCs/>
        </w:rPr>
        <w:t xml:space="preserve">padj</w:t>
      </w:r>
      <w:r>
        <w:t xml:space="preserve">.</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rPr>
          <w:b/>
          <w:bCs/>
        </w:rPr>
        <w:t xml:space="preserve">gene</w:t>
      </w:r>
      <w:r>
        <w:t xml:space="preserve"> </w:t>
      </w:r>
      <w:r>
        <w:t xml:space="preserve">is the Ensembl gene ID. Each row contains differential expression data for a single gene.</w:t>
      </w:r>
    </w:p>
    <w:p>
      <w:pPr>
        <w:pStyle w:val="BodyText"/>
      </w:pPr>
      <w:r>
        <w:rPr>
          <w:b/>
          <w:bCs/>
        </w:rPr>
        <w:t xml:space="preserve">log2FoldChange</w:t>
      </w:r>
      <w:r>
        <w:t xml:space="preserve"> </w:t>
      </w:r>
      <w:r>
        <w:t xml:space="preserve">is a measure that tells us whether a gene is upregulated or downregulated in experimental mice versus the control mice. We’ll discuss this in more depth in the next section.</w:t>
      </w:r>
    </w:p>
    <w:p>
      <w:pPr>
        <w:pStyle w:val="BodyText"/>
      </w:pPr>
      <w:r>
        <w:rPr>
          <w:b/>
          <w:bCs/>
        </w:rPr>
        <w:t xml:space="preserve">padj</w:t>
      </w:r>
      <w:r>
        <w:t xml:space="preserve"> </w:t>
      </w:r>
      <w:r>
        <w:t xml:space="preserve">is a measure of whether the difference in gene expression between the experimental and control mice is statistically significant. It stands for</w:t>
      </w:r>
      <w:r>
        <w:t xml:space="preserve"> </w:t>
      </w:r>
      <w:r>
        <w:t xml:space="preserve">“p-adjusted”</w:t>
      </w:r>
      <w:r>
        <w:t xml:space="preserve">. A p-value was calculated for each gene and then a correction was added to account for the fact that many statistical tests were being performed.</w:t>
      </w:r>
    </w:p>
    <w:bookmarkEnd w:id="241"/>
    <w:bookmarkStart w:id="248" w:name="ranking-the-genes-by-log2foldchange"/>
    <w:p>
      <w:pPr>
        <w:pStyle w:val="Heading3"/>
      </w:pPr>
      <w:r>
        <w:t xml:space="preserve">Ranking the genes by log2FoldChange</w:t>
      </w:r>
    </w:p>
    <w:p>
      <w:pPr>
        <w:pStyle w:val="FirstParagraph"/>
      </w:pPr>
      <w:r>
        <w:t xml:space="preserve">The</w:t>
      </w:r>
      <w:r>
        <w:t xml:space="preserve"> </w:t>
      </w:r>
      <w:r>
        <w:rPr>
          <w:rStyle w:val="VerbatimChar"/>
        </w:rPr>
        <w:t xml:space="preserve">log2FoldChange</w:t>
      </w:r>
      <w:r>
        <w:t xml:space="preserve"> </w:t>
      </w:r>
      <w:r>
        <w:t xml:space="preserve">value gives us an idea of which genes show the greatest differential expression between the ASD mice and the control mice. It is a log-transformed ratio of how many gene transcripts were found in ASD-type mice compared to control-type mice. We take the log2 of this ratio (the fold change) because it makes interpretation easier.</w:t>
      </w:r>
    </w:p>
    <w:p>
      <w:pPr>
        <w:pStyle w:val="BodyText"/>
      </w:pPr>
      <w:r>
        <w:drawing>
          <wp:inline>
            <wp:extent cx="5334000" cy="3000375"/>
            <wp:effectExtent b="0" l="0" r="0" t="0"/>
            <wp:docPr descr="" title="" id="243" name="Picture"/>
            <a:graphic>
              <a:graphicData uri="http://schemas.openxmlformats.org/drawingml/2006/picture">
                <pic:pic>
                  <pic:nvPicPr>
                    <pic:cNvPr descr="mouse_gutbrain_de_miniCURE_guide_files/figure-docx//1vikcyml6uw-_DaC1yFpS-UWoWNEGxFukMB_eCi42BqY_g3768ce87575_0_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Genes with no difference in expression between groups have</w:t>
      </w:r>
      <w:r>
        <w:t xml:space="preserve"> </w:t>
      </w:r>
      <w:r>
        <w:rPr>
          <w:rStyle w:val="VerbatimChar"/>
        </w:rPr>
        <w:t xml:space="preserve">log2FoldChange</w:t>
      </w:r>
      <w:r>
        <w:t xml:space="preserve"> </w:t>
      </w:r>
      <w:r>
        <w:t xml:space="preserve">values close to zero.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BodyText"/>
      </w:pPr>
      <w:r>
        <w:t xml:space="preserve">We can arrange the table based on these values (going from smallest to large using the</w:t>
      </w:r>
      <w:r>
        <w:t xml:space="preserve"> </w:t>
      </w:r>
      <w:r>
        <w:rPr>
          <w:rStyle w:val="VerbatimChar"/>
        </w:rPr>
        <w:t xml:space="preserve">arrange</w:t>
      </w:r>
      <w:r>
        <w:t xml:space="preserve"> </w:t>
      </w:r>
      <w:r>
        <w:t xml:space="preserve">command.</w:t>
      </w:r>
    </w:p>
    <w:p>
      <w:pPr>
        <w:pStyle w:val="BodyText"/>
      </w:pPr>
      <w:r>
        <w:drawing>
          <wp:inline>
            <wp:extent cx="5334000" cy="3000375"/>
            <wp:effectExtent b="0" l="0" r="0" t="0"/>
            <wp:docPr descr="" title="" id="246" name="Picture"/>
            <a:graphic>
              <a:graphicData uri="http://schemas.openxmlformats.org/drawingml/2006/picture">
                <pic:pic>
                  <pic:nvPicPr>
                    <pic:cNvPr descr="mouse_gutbrain_de_miniCURE_guide_files/figure-docx//1vikcyml6uw-_DaC1yFpS-UWoWNEGxFukMB_eCi42BqY_g3768ce87575_0_23.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asd_vs_c_ascending </w:t>
      </w:r>
      <w:r>
        <w:rPr>
          <w:rStyle w:val="OtherTok"/>
        </w:rPr>
        <w:t xml:space="preserve">&lt;-</w:t>
      </w:r>
      <w:r>
        <w:rPr>
          <w:rStyle w:val="NormalTok"/>
        </w:rPr>
        <w:t xml:space="preserve"> </w:t>
      </w:r>
      <w:r>
        <w:rPr>
          <w:rStyle w:val="FunctionTok"/>
        </w:rPr>
        <w:t xml:space="preserve">arrange</w:t>
      </w:r>
      <w:r>
        <w:rPr>
          <w:rStyle w:val="NormalTok"/>
        </w:rPr>
        <w:t xml:space="preserve">(asd_vs_c, log2FoldChange)</w:t>
      </w:r>
      <w:r>
        <w:br/>
      </w:r>
      <w:r>
        <w:rPr>
          <w:rStyle w:val="FunctionTok"/>
        </w:rPr>
        <w:t xml:space="preserve">head</w:t>
      </w:r>
      <w:r>
        <w:rPr>
          <w:rStyle w:val="NormalTok"/>
        </w:rPr>
        <w:t xml:space="preserve">(asd_vs_c_ascending)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ENSMUSG00000102414     14.9          -25.4  1.89 -13.4 4.00e-41 3.81e-37</w:t>
      </w:r>
      <w:r>
        <w:br/>
      </w:r>
      <w:r>
        <w:rPr>
          <w:rStyle w:val="VerbatimChar"/>
        </w:rPr>
        <w:t xml:space="preserve">3 ENSMUSG00000083812     14.6          -25.4  1.80 -14.1 3.82e-45 7.29e-41</w:t>
      </w:r>
      <w:r>
        <w:br/>
      </w:r>
      <w:r>
        <w:rPr>
          <w:rStyle w:val="VerbatimChar"/>
        </w:rPr>
        <w:t xml:space="preserve">4 ENSMUSG00000074445     11.5          -25.0  1.89 -13.3 3.44e-40 2.62e-36</w:t>
      </w:r>
      <w:r>
        <w:br/>
      </w:r>
      <w:r>
        <w:rPr>
          <w:rStyle w:val="VerbatimChar"/>
        </w:rPr>
        <w:t xml:space="preserve">5 ENSMUSG00000094151     11.2          -25.0  1.79 -14.0 2.97e-44 3.77e-40</w:t>
      </w:r>
      <w:r>
        <w:br/>
      </w:r>
      <w:r>
        <w:rPr>
          <w:rStyle w:val="VerbatimChar"/>
        </w:rPr>
        <w:t xml:space="preserve">6 ENSMUSG00000053773     10.6          -24.9  1.99 -12.5 6.66e-36 4.23e-32</w:t>
      </w:r>
    </w:p>
    <w:p>
      <w:pPr>
        <w:pStyle w:val="FirstParagraph"/>
      </w:pPr>
      <w:r>
        <w:t xml:space="preserve">The genes at the top of this table have the most negative log2FoldChange values and are downregulated in the experimental mice.</w:t>
      </w:r>
    </w:p>
    <w:p>
      <w:pPr>
        <w:pStyle w:val="BodyText"/>
      </w:pPr>
      <w:r>
        <w:t xml:space="preserve">We can use a similar command to look at the genes with the largest positive log2FoldChange. These are genes that are upregulated in experimental mice.</w:t>
      </w:r>
    </w:p>
    <w:p>
      <w:pPr>
        <w:pStyle w:val="SourceCode"/>
      </w:pPr>
      <w:r>
        <w:rPr>
          <w:rStyle w:val="NormalTok"/>
        </w:rPr>
        <w:t xml:space="preserve">asd_vs_c_descending </w:t>
      </w:r>
      <w:r>
        <w:rPr>
          <w:rStyle w:val="OtherTok"/>
        </w:rPr>
        <w:t xml:space="preserve">&lt;-</w:t>
      </w:r>
      <w:r>
        <w:rPr>
          <w:rStyle w:val="NormalTok"/>
        </w:rPr>
        <w:t xml:space="preserve"> </w:t>
      </w:r>
      <w:r>
        <w:rPr>
          <w:rStyle w:val="FunctionTok"/>
        </w:rPr>
        <w:t xml:space="preserve">arrange</w:t>
      </w:r>
      <w:r>
        <w:rPr>
          <w:rStyle w:val="NormalTok"/>
        </w:rPr>
        <w:t xml:space="preserve">(asd_vs_c, </w:t>
      </w:r>
      <w:r>
        <w:rPr>
          <w:rStyle w:val="FunctionTok"/>
        </w:rPr>
        <w:t xml:space="preserve">desc</w:t>
      </w:r>
      <w:r>
        <w:rPr>
          <w:rStyle w:val="NormalTok"/>
        </w:rPr>
        <w:t xml:space="preserve">(log2FoldChange))</w:t>
      </w:r>
      <w:r>
        <w:br/>
      </w:r>
      <w:r>
        <w:rPr>
          <w:rStyle w:val="FunctionTok"/>
        </w:rPr>
        <w:t xml:space="preserve">head</w:t>
      </w:r>
      <w:r>
        <w:rPr>
          <w:rStyle w:val="NormalTok"/>
        </w:rPr>
        <w:t xml:space="preserve">(asd_vs_c_descending)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ENSMUSG00000102375     7.19          24.1   2.29 10.5  6.88e-26 2.91e-22</w:t>
      </w:r>
      <w:r>
        <w:br/>
      </w:r>
      <w:r>
        <w:rPr>
          <w:rStyle w:val="VerbatimChar"/>
        </w:rPr>
        <w:t xml:space="preserve">2 ENSMUSG00000104583     5.77          24.0   2.31 10.4  2.48e-25 9.47e-22</w:t>
      </w:r>
      <w:r>
        <w:br/>
      </w:r>
      <w:r>
        <w:rPr>
          <w:rStyle w:val="VerbatimChar"/>
        </w:rPr>
        <w:t xml:space="preserve">3 ENSMUSG00000042414     6.81           6.42  2.93  2.19 2.85e- 2 1.00e+ 0</w:t>
      </w:r>
      <w:r>
        <w:br/>
      </w:r>
      <w:r>
        <w:rPr>
          <w:rStyle w:val="VerbatimChar"/>
        </w:rPr>
        <w:t xml:space="preserve">4 ENSMUSG00000048763     6.33           6.32  2.30  2.75 6.04e- 3 1.00e+ 0</w:t>
      </w:r>
      <w:r>
        <w:br/>
      </w:r>
      <w:r>
        <w:rPr>
          <w:rStyle w:val="VerbatimChar"/>
        </w:rPr>
        <w:t xml:space="preserve">5 ENSMUSG00000117911     5.18           6.03  2.77  2.18 2.93e- 2 1.00e+ 0</w:t>
      </w:r>
      <w:r>
        <w:br/>
      </w:r>
      <w:r>
        <w:rPr>
          <w:rStyle w:val="VerbatimChar"/>
        </w:rPr>
        <w:t xml:space="preserve">6 ENSMUSG00000085421     4.74           5.90  2.93  2.01 4.42e- 2 1.00e+ 0</w:t>
      </w:r>
    </w:p>
    <w:p>
      <w:pPr>
        <w:pStyle w:val="FirstParagraph"/>
      </w:pPr>
      <w:r>
        <w:t xml:space="preserve">When we’re interpreting the</w:t>
      </w:r>
      <w:r>
        <w:t xml:space="preserve"> </w:t>
      </w:r>
      <w:r>
        <w:rPr>
          <w:rStyle w:val="VerbatimChar"/>
        </w:rPr>
        <w:t xml:space="preserve">log2FoldChange</w:t>
      </w:r>
      <w:r>
        <w:t xml:space="preserve">, remember that you’ll need to do a little bit of math. A</w:t>
      </w:r>
      <w:r>
        <w:t xml:space="preserve"> </w:t>
      </w:r>
      <w:r>
        <w:rPr>
          <w:rStyle w:val="VerbatimChar"/>
        </w:rPr>
        <w:t xml:space="preserve">log2FoldChange</w:t>
      </w:r>
      <w:r>
        <w:t xml:space="preserve"> </w:t>
      </w:r>
      <w:r>
        <w:t xml:space="preserve">value of 1 is a fold change value of 2 (2^1 = 2). Similarly, a</w:t>
      </w:r>
      <w:r>
        <w:t xml:space="preserve"> </w:t>
      </w:r>
      <w:r>
        <w:rPr>
          <w:rStyle w:val="VerbatimChar"/>
        </w:rPr>
        <w:t xml:space="preserve">log2FoldChange</w:t>
      </w:r>
      <w:r>
        <w:t xml:space="preserve"> </w:t>
      </w:r>
      <w:r>
        <w:t xml:space="preserve">value of 4 is a fold change value of 8 (2^4 = 8)</w:t>
      </w:r>
    </w:p>
    <w:p>
      <w:pPr>
        <w:pStyle w:val="BodyText"/>
      </w:pPr>
      <w:r>
        <w:t xml:space="preserve">If there is a two fold</w:t>
      </w:r>
      <w:r>
        <w:t xml:space="preserve"> </w:t>
      </w:r>
      <w:r>
        <w:rPr>
          <w:b/>
          <w:bCs/>
        </w:rPr>
        <w:t xml:space="preserve">increase</w:t>
      </w:r>
      <w:r>
        <w:t xml:space="preserve"> </w:t>
      </w:r>
      <w:r>
        <w:t xml:space="preserve">(fold change = 2,</w:t>
      </w:r>
      <w:r>
        <w:t xml:space="preserve"> </w:t>
      </w:r>
      <w:r>
        <w:rPr>
          <w:rStyle w:val="VerbatimChar"/>
        </w:rPr>
        <w:t xml:space="preserve">log2FoldChange</w:t>
      </w:r>
      <w:r>
        <w:t xml:space="preserve"> </w:t>
      </w:r>
      <w:r>
        <w:t xml:space="preserve">= 1) between groups A and B, then the expression in group A is twice as big as the expression in group B.</w:t>
      </w:r>
    </w:p>
    <w:p>
      <w:pPr>
        <w:pStyle w:val="BodyText"/>
      </w:pPr>
      <w:r>
        <w:t xml:space="preserve">If there is a two fold</w:t>
      </w:r>
      <w:r>
        <w:t xml:space="preserve"> </w:t>
      </w:r>
      <w:r>
        <w:rPr>
          <w:b/>
          <w:bCs/>
        </w:rPr>
        <w:t xml:space="preserve">decrease</w:t>
      </w:r>
      <w:r>
        <w:t xml:space="preserve"> </w:t>
      </w:r>
      <w:r>
        <w:t xml:space="preserve">(fold change = 0.5,</w:t>
      </w:r>
      <w:r>
        <w:t xml:space="preserve"> </w:t>
      </w:r>
      <w:r>
        <w:rPr>
          <w:rStyle w:val="VerbatimChar"/>
        </w:rPr>
        <w:t xml:space="preserve">log2FoldChange</w:t>
      </w:r>
      <w:r>
        <w:t xml:space="preserve"> </w:t>
      </w:r>
      <w:r>
        <w:t xml:space="preserve">= -1) between groups A and B, then the expression in group A is half as big as the expression in group B (or B is twice as big as A).</w:t>
      </w:r>
    </w:p>
    <w:bookmarkEnd w:id="248"/>
    <w:bookmarkStart w:id="249" w:name="arranging-dataset-based-on-padj"/>
    <w:p>
      <w:pPr>
        <w:pStyle w:val="Heading3"/>
      </w:pPr>
      <w:r>
        <w:t xml:space="preserve">Arranging dataset based on padj</w:t>
      </w:r>
    </w:p>
    <w:p>
      <w:pPr>
        <w:pStyle w:val="FirstParagraph"/>
      </w:pPr>
      <w:r>
        <w:t xml:space="preserve">Maybe you also want to arrange the genes by whether the estimated differential expression is statistically significant. Instead of</w:t>
      </w:r>
      <w:r>
        <w:t xml:space="preserve"> </w:t>
      </w:r>
      <w:r>
        <w:rPr>
          <w:rStyle w:val="VerbatimChar"/>
        </w:rPr>
        <w:t xml:space="preserve">log2FoldChange</w:t>
      </w:r>
      <w:r>
        <w:t xml:space="preserve">, you will want to look at</w:t>
      </w:r>
      <w:r>
        <w:t xml:space="preserve"> </w:t>
      </w:r>
      <w:r>
        <w:rPr>
          <w:rStyle w:val="VerbatimChar"/>
        </w:rPr>
        <w:t xml:space="preserve">padj</w:t>
      </w:r>
      <w:r>
        <w:t xml:space="preserve">. You can use the</w:t>
      </w:r>
      <w:r>
        <w:t xml:space="preserve"> </w:t>
      </w:r>
      <w:r>
        <w:rPr>
          <w:rStyle w:val="VerbatimChar"/>
        </w:rPr>
        <w:t xml:space="preserve">arrange</w:t>
      </w:r>
      <w:r>
        <w:t xml:space="preserve"> </w:t>
      </w:r>
      <w:r>
        <w:t xml:space="preserve">command to sort the results to put the smallest padj values first.</w:t>
      </w:r>
    </w:p>
    <w:p>
      <w:pPr>
        <w:pStyle w:val="SourceCode"/>
      </w:pPr>
      <w:r>
        <w:rPr>
          <w:rStyle w:val="NormalTok"/>
        </w:rPr>
        <w:t xml:space="preserve">asd_vs_c_sorted </w:t>
      </w:r>
      <w:r>
        <w:rPr>
          <w:rStyle w:val="OtherTok"/>
        </w:rPr>
        <w:t xml:space="preserve">&lt;-</w:t>
      </w:r>
      <w:r>
        <w:rPr>
          <w:rStyle w:val="NormalTok"/>
        </w:rPr>
        <w:t xml:space="preserve"> </w:t>
      </w:r>
      <w:r>
        <w:rPr>
          <w:rStyle w:val="FunctionTok"/>
        </w:rPr>
        <w:t xml:space="preserve">arrange</w:t>
      </w:r>
      <w:r>
        <w:rPr>
          <w:rStyle w:val="NormalTok"/>
        </w:rPr>
        <w:t xml:space="preserve">(asd_vs_c, padj)</w:t>
      </w:r>
      <w:r>
        <w:br/>
      </w:r>
      <w:r>
        <w:rPr>
          <w:rStyle w:val="FunctionTok"/>
        </w:rPr>
        <w:t xml:space="preserve">head</w:t>
      </w:r>
      <w:r>
        <w:rPr>
          <w:rStyle w:val="NormalTok"/>
        </w:rPr>
        <w:t xml:space="preserve">(asd_vs_c_sorted)</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t xml:space="preserve">Doing this is a useful way to check how many (or if any!) genes have statistically significant expression changes between groups.</w:t>
      </w:r>
    </w:p>
    <w:bookmarkEnd w:id="249"/>
    <w:bookmarkStart w:id="275" w:name="X496770678c569b599de99f55c5decedebfb57f8"/>
    <w:p>
      <w:pPr>
        <w:pStyle w:val="Heading3"/>
      </w:pPr>
      <w:r>
        <w:t xml:space="preserve">Creating a volcano plot to visualize differential expression of multiple genes</w:t>
      </w:r>
    </w:p>
    <w:p>
      <w:pPr>
        <w:pStyle w:val="FirstParagraph"/>
      </w:pPr>
      <w:r>
        <w:t xml:space="preserve">A volcano plot is a great way to visualize differential gene expression between two groups. These types of plots have</w:t>
      </w:r>
      <w:r>
        <w:t xml:space="preserve"> </w:t>
      </w:r>
      <w:r>
        <w:rPr>
          <w:rStyle w:val="VerbatimChar"/>
        </w:rPr>
        <w:t xml:space="preserve">log2FoldChange</w:t>
      </w:r>
      <w:r>
        <w:t xml:space="preserve"> </w:t>
      </w:r>
      <w:r>
        <w:t xml:space="preserve">on the x-axis and a log transformed</w:t>
      </w:r>
      <w:r>
        <w:t xml:space="preserve"> </w:t>
      </w:r>
      <w:r>
        <w:rPr>
          <w:rStyle w:val="VerbatimChar"/>
        </w:rPr>
        <w:t xml:space="preserve">padj</w:t>
      </w:r>
      <w:r>
        <w:t xml:space="preserve"> </w:t>
      </w:r>
      <w:r>
        <w:t xml:space="preserve">on the y-axis.</w:t>
      </w:r>
    </w:p>
    <w:p>
      <w:pPr>
        <w:pStyle w:val="BodyText"/>
      </w:pPr>
      <w:r>
        <w:drawing>
          <wp:inline>
            <wp:extent cx="5334000" cy="3000375"/>
            <wp:effectExtent b="0" l="0" r="0" t="0"/>
            <wp:docPr descr="" title="" id="251" name="Picture"/>
            <a:graphic>
              <a:graphicData uri="http://schemas.openxmlformats.org/drawingml/2006/picture">
                <pic:pic>
                  <pic:nvPicPr>
                    <pic:cNvPr descr="mouse_gutbrain_de_miniCURE_guide_files/figure-docx//1vikcyml6uw-_DaC1yFpS-UWoWNEGxFukMB_eCi42BqY_g36a8fbcc346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will first need to do a log transformation of the</w:t>
      </w:r>
      <w:r>
        <w:t xml:space="preserve"> </w:t>
      </w:r>
      <w:r>
        <w:rPr>
          <w:rStyle w:val="VerbatimChar"/>
        </w:rPr>
        <w:t xml:space="preserve">padj</w:t>
      </w:r>
      <w:r>
        <w:t xml:space="preserve"> </w:t>
      </w:r>
      <w:r>
        <w:t xml:space="preserve">variable. We do this in order to spread our values out along the y-axis - otherwise, all the dots that represent genes will be too scrunched together. Remember, we did this earlier when we made our histograms!</w:t>
      </w:r>
    </w:p>
    <w:p>
      <w:pPr>
        <w:pStyle w:val="SourceCode"/>
      </w:pP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p>
    <w:p>
      <w:pPr>
        <w:pStyle w:val="FirstParagraph"/>
      </w:pPr>
      <w:r>
        <w:t xml:space="preserve">Now, we just create a scatterplot. The code for this is kind of complicated, but we’ll walk through it.</w:t>
      </w:r>
    </w:p>
    <w:p>
      <w:pPr>
        <w:pStyle w:val="BodyText"/>
      </w:pPr>
      <w:r>
        <w:drawing>
          <wp:inline>
            <wp:extent cx="5334000" cy="3000375"/>
            <wp:effectExtent b="0" l="0" r="0" t="0"/>
            <wp:docPr descr="" title="" id="254" name="Picture"/>
            <a:graphic>
              <a:graphicData uri="http://schemas.openxmlformats.org/drawingml/2006/picture">
                <pic:pic>
                  <pic:nvPicPr>
                    <pic:cNvPr descr="mouse_gutbrain_de_miniCURE_guide_files/figure-docx//1vikcyml6uw-_DaC1yFpS-UWoWNEGxFukMB_eCi42BqY_g3768ce87575_0_5.png" id="255" name="Picture"/>
                    <pic:cNvPicPr>
                      <a:picLocks noChangeArrowheads="1" noChangeAspect="1"/>
                    </pic:cNvPicPr>
                  </pic:nvPicPr>
                  <pic:blipFill>
                    <a:blip r:embed="rId2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Here’s the code for your basic volcano plot. Notice that we can just use the column names for</w:t>
      </w:r>
      <w:r>
        <w:t xml:space="preserve"> </w:t>
      </w:r>
      <w:r>
        <w:rPr>
          <w:rStyle w:val="VerbatimChar"/>
        </w:rPr>
        <w:t xml:space="preserve">x</w:t>
      </w:r>
      <w:r>
        <w:t xml:space="preserve"> </w:t>
      </w:r>
      <w:r>
        <w:t xml:space="preserve">and</w:t>
      </w:r>
      <w:r>
        <w:t xml:space="preserve"> </w:t>
      </w:r>
      <w:r>
        <w:rPr>
          <w:rStyle w:val="VerbatimChar"/>
        </w:rPr>
        <w:t xml:space="preserve">y</w:t>
      </w:r>
      <w:r>
        <w:t xml:space="preserve">! There’s no need to use the</w:t>
      </w:r>
      <w:r>
        <w:t xml:space="preserve"> </w:t>
      </w:r>
      <w:r>
        <w:rPr>
          <w:rStyle w:val="VerbatimChar"/>
        </w:rPr>
        <w:t xml:space="preserve">dataset$column_name</w:t>
      </w:r>
      <w:r>
        <w:t xml:space="preserve"> </w:t>
      </w:r>
      <w:r>
        <w:t xml:space="preserve">syntax. The</w:t>
      </w:r>
      <w:r>
        <w:t xml:space="preserve"> </w:t>
      </w:r>
      <w:r>
        <w:rPr>
          <w:rStyle w:val="VerbatimChar"/>
        </w:rPr>
        <w:t xml:space="preserve">ggplot</w:t>
      </w:r>
      <w:r>
        <w:t xml:space="preserve"> </w:t>
      </w:r>
      <w:r>
        <w:t xml:space="preserve">command already knows to look for these column names in the</w:t>
      </w:r>
      <w:r>
        <w:t xml:space="preserve"> </w:t>
      </w:r>
      <w:r>
        <w:rPr>
          <w:rStyle w:val="VerbatimChar"/>
        </w:rPr>
        <w:t xml:space="preserve">asd_vs_c</w:t>
      </w:r>
      <w:r>
        <w:t xml:space="preserve"> </w:t>
      </w:r>
      <w:r>
        <w:t xml:space="preserve">dataset.</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57" name="Picture"/>
            <a:graphic>
              <a:graphicData uri="http://schemas.openxmlformats.org/drawingml/2006/picture">
                <pic:pic>
                  <pic:nvPicPr>
                    <pic:cNvPr descr="mouse_gutbrain_de_miniCURE_guide_files/figure-docx/unnamed-chunk-84-1.png" id="258" name="Picture"/>
                    <pic:cNvPicPr>
                      <a:picLocks noChangeArrowheads="1" noChangeAspect="1"/>
                    </pic:cNvPicPr>
                  </pic:nvPicPr>
                  <pic:blipFill>
                    <a:blip r:embed="rId2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also color code the genes (points) which are significantly upregulated or downregulated. In order to do this, we will need to create a new column in our dataset that identifies whether a gene is upregulated in ASD-type mice, downregulated in ASD-type mice, or has the same regulation in ASD-type mice compared to control-type mice.</w:t>
      </w:r>
    </w:p>
    <w:p>
      <w:pPr>
        <w:pStyle w:val="BodyText"/>
      </w:pPr>
      <w:r>
        <w:t xml:space="preserve">In this new column, we can decide the thresholds that a</w:t>
      </w:r>
      <w:r>
        <w:t xml:space="preserve"> </w:t>
      </w:r>
      <w:r>
        <w:rPr>
          <w:rStyle w:val="VerbatimChar"/>
        </w:rPr>
        <w:t xml:space="preserve">log2FoldChange</w:t>
      </w:r>
      <w:r>
        <w:t xml:space="preserve"> </w:t>
      </w:r>
      <w:r>
        <w:t xml:space="preserve">value must meet in order to be considered upregulated or downregulated. We will consider genes to be upregulated if the log2fold change is greater than 0.6 and downregulated if it is less than -0.6.</w:t>
      </w:r>
      <w:r>
        <w:t xml:space="preserve"> </w:t>
      </w:r>
      <w:r>
        <w:rPr>
          <w:b/>
          <w:bCs/>
        </w:rPr>
        <w:t xml:space="preserve">You can change these thresholds to whatever makes sense for you.</w:t>
      </w:r>
    </w:p>
    <w:p>
      <w:pPr>
        <w:pStyle w:val="BodyText"/>
      </w:pPr>
      <w:r>
        <w:t xml:space="preserve">log2foldchange is just a representation of a ratio, so the sign indicates the direction of regulation. It’s important to remember which group is your comparison group!</w:t>
      </w:r>
    </w:p>
    <w:p>
      <w:pPr>
        <w:pStyle w:val="BodyText"/>
      </w:pPr>
      <w:r>
        <w:t xml:space="preserve">For example, if you are look at regulation in group A compared to group B, you might have a log2foldchange value of 1 (indicating the gene is expressed twice as much in A as it is in B).</w:t>
      </w:r>
    </w:p>
    <w:p>
      <w:pPr>
        <w:pStyle w:val="BodyText"/>
      </w:pPr>
      <w:r>
        <w:t xml:space="preserve">However, if you are looking at regulation in group B compared to group A, the log2foldchange value will be -1 (because the gene is expressed half as much in B as it is in A).</w:t>
      </w:r>
    </w:p>
    <w:p>
      <w:pPr>
        <w:pStyle w:val="BodyText"/>
      </w:pPr>
      <w:r>
        <w:t xml:space="preserve">The comparison group matters with ratios!</w:t>
      </w:r>
    </w:p>
    <w:p>
      <w:pPr>
        <w:pStyle w:val="BodyText"/>
      </w:pPr>
      <w:r>
        <w:t xml:space="preserve">We are also setting a significant p-value (</w:t>
      </w:r>
      <w:r>
        <w:rPr>
          <w:rStyle w:val="VerbatimChar"/>
        </w:rPr>
        <w:t xml:space="preserve">padj</w:t>
      </w:r>
      <w:r>
        <w:t xml:space="preserve">) as less than 0.05 (but you can also change this based on your best judgment).</w:t>
      </w:r>
    </w:p>
    <w:p>
      <w:pPr>
        <w:pStyle w:val="BodyText"/>
      </w:pPr>
      <w:r>
        <w:t xml:space="preserve">We start by creating a new column called</w:t>
      </w:r>
      <w:r>
        <w:t xml:space="preserve"> </w:t>
      </w:r>
      <w:r>
        <w:rPr>
          <w:rStyle w:val="VerbatimChar"/>
        </w:rPr>
        <w:t xml:space="preserve">diffexpressed</w:t>
      </w:r>
      <w:r>
        <w:t xml:space="preserve"> </w:t>
      </w:r>
      <w:r>
        <w:t xml:space="preserve">and setting everything to</w:t>
      </w:r>
      <w:r>
        <w:t xml:space="preserve"> </w:t>
      </w:r>
      <w:r>
        <w:t xml:space="preserve">“NO”</w:t>
      </w:r>
      <w:r>
        <w:t xml:space="preserve"> </w:t>
      </w:r>
      <w:r>
        <w:t xml:space="preserve">(as in</w:t>
      </w:r>
      <w:r>
        <w:t xml:space="preserve"> </w:t>
      </w:r>
      <w:r>
        <w:t xml:space="preserve">“no expression differences between ASD-type and control-type mice”</w:t>
      </w:r>
      <w:r>
        <w:t xml:space="preserve">). We then specify the genes for which this column should be changed to</w:t>
      </w:r>
      <w:r>
        <w:t xml:space="preserve"> </w:t>
      </w:r>
      <w:r>
        <w:t xml:space="preserve">“UP”</w:t>
      </w:r>
      <w:r>
        <w:t xml:space="preserve"> </w:t>
      </w:r>
      <w:r>
        <w:t xml:space="preserve">or</w:t>
      </w:r>
      <w:r>
        <w:t xml:space="preserve"> </w:t>
      </w:r>
      <w:r>
        <w:t xml:space="preserve">“DOWN”</w:t>
      </w:r>
      <w:r>
        <w:t xml:space="preserve"> </w:t>
      </w:r>
      <w:r>
        <w:t xml:space="preserve">(based on</w:t>
      </w:r>
      <w:r>
        <w:t xml:space="preserve"> </w:t>
      </w:r>
      <w:r>
        <w:rPr>
          <w:rStyle w:val="VerbatimChar"/>
        </w:rPr>
        <w:t xml:space="preserve">log2FoldChange</w:t>
      </w:r>
      <w:r>
        <w:t xml:space="preserve"> </w:t>
      </w:r>
      <w:r>
        <w:t xml:space="preserve">and</w:t>
      </w:r>
      <w:r>
        <w:t xml:space="preserve"> </w:t>
      </w:r>
      <w:r>
        <w:rPr>
          <w:rStyle w:val="VerbatimChar"/>
        </w:rPr>
        <w:t xml:space="preserve">padj</w:t>
      </w:r>
      <w:r>
        <w:t xml:space="preserve">).</w:t>
      </w:r>
    </w:p>
    <w:p>
      <w:pPr>
        <w:pStyle w:val="BodyText"/>
      </w:pPr>
      <w:r>
        <w:t xml:space="preserve">To recap:</w:t>
      </w:r>
      <w:r>
        <w:t xml:space="preserve"> </w:t>
      </w:r>
      <w:r>
        <w:t xml:space="preserve">A gene is labeled</w:t>
      </w:r>
      <w:r>
        <w:t xml:space="preserve"> </w:t>
      </w:r>
      <w:r>
        <w:t xml:space="preserve">“UP”</w:t>
      </w:r>
      <w:r>
        <w:t xml:space="preserve"> </w:t>
      </w:r>
      <w:r>
        <w:t xml:space="preserve">if its log2FoldChange value is greater than 0.6</w:t>
      </w:r>
      <w:r>
        <w:t xml:space="preserve"> </w:t>
      </w:r>
      <w:r>
        <w:rPr>
          <w:i/>
          <w:iCs/>
        </w:rPr>
        <w:t xml:space="preserve">and</w:t>
      </w:r>
      <w:r>
        <w:t xml:space="preserve"> </w:t>
      </w:r>
      <w:r>
        <w:t xml:space="preserve">its adjusted p-value is less than 0.05.</w:t>
      </w:r>
    </w:p>
    <w:p>
      <w:pPr>
        <w:pStyle w:val="BodyText"/>
      </w:pPr>
      <w:r>
        <w:t xml:space="preserve">A gene is labeled</w:t>
      </w:r>
      <w:r>
        <w:t xml:space="preserve"> </w:t>
      </w:r>
      <w:r>
        <w:t xml:space="preserve">“DOWN”</w:t>
      </w:r>
      <w:r>
        <w:t xml:space="preserve"> </w:t>
      </w:r>
      <w:r>
        <w:t xml:space="preserve">if its log2FoldChange value is less than -0.6</w:t>
      </w:r>
      <w:r>
        <w:t xml:space="preserve"> </w:t>
      </w:r>
      <w:r>
        <w:rPr>
          <w:i/>
          <w:iCs/>
        </w:rPr>
        <w:t xml:space="preserve">and</w:t>
      </w:r>
      <w:r>
        <w:t xml:space="preserve"> </w:t>
      </w:r>
      <w:r>
        <w:t xml:space="preserve">its adjusted p-value is less than 0.05.</w:t>
      </w:r>
    </w:p>
    <w:p>
      <w:pPr>
        <w:pStyle w:val="SourceCode"/>
      </w:pP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FunctionTok"/>
        </w:rPr>
        <w:t xml:space="preserve">head</w:t>
      </w:r>
      <w:r>
        <w:rPr>
          <w:rStyle w:val="NormalTok"/>
        </w:rPr>
        <w:t xml:space="preserve">(asd_vs_c)</w:t>
      </w:r>
    </w:p>
    <w:p>
      <w:pPr>
        <w:pStyle w:val="SourceCode"/>
      </w:pPr>
      <w:r>
        <w:rPr>
          <w:rStyle w:val="VerbatimChar"/>
        </w:rPr>
        <w:t xml:space="preserve"># A tibble: 6 × 9</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1 more variable: diffexpressed &lt;chr&gt;</w:t>
      </w:r>
    </w:p>
    <w:p>
      <w:pPr>
        <w:pStyle w:val="FirstParagraph"/>
      </w:pPr>
      <w:r>
        <w:t xml:space="preserve">Okay! We can now add some color to the volcano plot we made earlier. We do this by adding a line to our code that tells R to color the data points based on the</w:t>
      </w:r>
      <w:r>
        <w:t xml:space="preserve"> </w:t>
      </w:r>
      <w:r>
        <w:rPr>
          <w:rStyle w:val="VerbatimChar"/>
        </w:rPr>
        <w:t xml:space="preserve">diffexpressed</w:t>
      </w:r>
      <w:r>
        <w:t xml:space="preserve"> </w:t>
      </w:r>
      <w:r>
        <w:t xml:space="preserve">column (</w:t>
      </w:r>
      <w:r>
        <w:rPr>
          <w:rStyle w:val="VerbatimChar"/>
        </w:rPr>
        <w:t xml:space="preserve">col = diffexpressed</w:t>
      </w:r>
      <w:r>
        <w:t xml:space="preserve">). This will be added in the</w:t>
      </w:r>
      <w:r>
        <w:t xml:space="preserve"> </w:t>
      </w:r>
      <w:r>
        <w:rPr>
          <w:rStyle w:val="VerbatimChar"/>
        </w:rPr>
        <w:t xml:space="preserve">aes</w:t>
      </w:r>
      <w:r>
        <w:t xml:space="preserve"> </w:t>
      </w:r>
      <w:r>
        <w:t xml:space="preserve">section of our code.</w:t>
      </w:r>
    </w:p>
    <w:p>
      <w:pPr>
        <w:pStyle w:val="BodyText"/>
      </w:pPr>
      <w:r>
        <w:t xml:space="preserve">We also add a line about the colors we want to use (</w:t>
      </w:r>
      <w:r>
        <w:rPr>
          <w:rStyle w:val="VerbatimChar"/>
        </w:rPr>
        <w:t xml:space="preserve">scale_color_manual</w:t>
      </w:r>
      <w:r>
        <w:t xml:space="preserve">). In this case, we have chosen to make the points for downregulated genes turquoise and the points for upregulated genes gold. The additional command</w:t>
      </w:r>
      <w:r>
        <w:t xml:space="preserve"> </w:t>
      </w:r>
      <w:r>
        <w:rPr>
          <w:rStyle w:val="VerbatimChar"/>
        </w:rPr>
        <w:t xml:space="preserve">labels</w:t>
      </w:r>
      <w:r>
        <w:t xml:space="preserve"> </w:t>
      </w:r>
      <w:r>
        <w:t xml:space="preserve">just creates the labels on the legend.</w:t>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60" name="Picture"/>
            <a:graphic>
              <a:graphicData uri="http://schemas.openxmlformats.org/drawingml/2006/picture">
                <pic:pic>
                  <pic:nvPicPr>
                    <pic:cNvPr descr="mouse_gutbrain_de_miniCURE_guide_files/figure-docx/unnamed-chunk-86-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is all well and good, but maybe we want to see where the genes from our gene list fall on this plot. Luckily, we can also label genes of interest in our plot.</w:t>
      </w:r>
    </w:p>
    <w:p>
      <w:pPr>
        <w:pStyle w:val="BodyText"/>
      </w:pPr>
      <w:r>
        <w:t xml:space="preserve">As an example, let’s label the Reg3a gene (the same one we looked up in the MGI database), as well as Pcdh12 (or protocadherin 12). The two gene IDs we need to know are ENSMUSG00000079516 and ENSMUSG00000024440.</w:t>
      </w:r>
    </w:p>
    <w:p>
      <w:pPr>
        <w:pStyle w:val="BodyText"/>
      </w:pPr>
      <w:r>
        <w:t xml:space="preserve">We will create another new column in our dataset. We will then tell R In this new column, the genes in our list (Reg3a and Pcdh12) are named, which everything else will have a missing name. When we remake the volcano plot, R will</w:t>
      </w:r>
      <w:r>
        <w:t xml:space="preserve"> </w:t>
      </w:r>
      <w:r>
        <w:rPr>
          <w:i/>
          <w:iCs/>
        </w:rPr>
        <w:t xml:space="preserve">only</w:t>
      </w:r>
      <w:r>
        <w:t xml:space="preserve"> </w:t>
      </w:r>
      <w:r>
        <w:t xml:space="preserve">label those points that do not have missing names in the</w:t>
      </w:r>
      <w:r>
        <w:t xml:space="preserve"> </w:t>
      </w:r>
      <w:r>
        <w:rPr>
          <w:rStyle w:val="VerbatimChar"/>
        </w:rPr>
        <w:t xml:space="preserve">gene_label</w:t>
      </w:r>
      <w:r>
        <w:t xml:space="preserve"> </w:t>
      </w:r>
      <w:r>
        <w:t xml:space="preserve">column.</w:t>
      </w:r>
    </w:p>
    <w:p>
      <w:pPr>
        <w:pStyle w:val="BodyText"/>
      </w:pPr>
      <w:r>
        <w:t xml:space="preserve">This is going to require a little bit of R trickery and something called a</w:t>
      </w:r>
      <w:r>
        <w:t xml:space="preserve"> </w:t>
      </w:r>
      <w:r>
        <w:t xml:space="preserve">“case_when”</w:t>
      </w:r>
      <w:r>
        <w:t xml:space="preserve"> </w:t>
      </w:r>
      <w:r>
        <w:t xml:space="preserve">statement.</w:t>
      </w:r>
    </w:p>
    <w:p>
      <w:pPr>
        <w:pStyle w:val="BodyText"/>
      </w:pPr>
      <w:r>
        <w:t xml:space="preserve">In R, an</w:t>
      </w:r>
      <w:r>
        <w:t xml:space="preserve"> </w:t>
      </w:r>
      <w:r>
        <w:t xml:space="preserve">“case_when”</w:t>
      </w:r>
      <w:r>
        <w:t xml:space="preserve"> </w:t>
      </w:r>
      <w:r>
        <w:t xml:space="preserve">statement tells R to do something only when a condition is true. In our command, R is going through the</w:t>
      </w:r>
      <w:r>
        <w:t xml:space="preserve"> </w:t>
      </w:r>
      <w:r>
        <w:rPr>
          <w:rStyle w:val="VerbatimChar"/>
        </w:rPr>
        <w:t xml:space="preserve">asd_vs_c</w:t>
      </w:r>
      <w:r>
        <w:t xml:space="preserve"> </w:t>
      </w:r>
      <w:r>
        <w:t xml:space="preserve">row by row. For each row, we are telling R to first check whether the geneID of that row is</w:t>
      </w:r>
      <w:r>
        <w:t xml:space="preserve"> </w:t>
      </w:r>
      <w:r>
        <w:t xml:space="preserve">“ENSMUSG00000079516”</w:t>
      </w:r>
      <w:r>
        <w:t xml:space="preserve">. If it is, then R will fill in the</w:t>
      </w:r>
      <w:r>
        <w:t xml:space="preserve"> </w:t>
      </w:r>
      <w:r>
        <w:rPr>
          <w:rStyle w:val="VerbatimChar"/>
        </w:rPr>
        <w:t xml:space="preserve">gene_label</w:t>
      </w:r>
      <w:r>
        <w:t xml:space="preserve"> </w:t>
      </w:r>
      <w:r>
        <w:t xml:space="preserve">column with the gene symbol</w:t>
      </w:r>
      <w:r>
        <w:t xml:space="preserve"> </w:t>
      </w:r>
      <w:r>
        <w:t xml:space="preserve">“Reg3a”</w:t>
      </w:r>
      <w:r>
        <w:t xml:space="preserve">. If it is not, R moves onto the next part of our command.</w:t>
      </w:r>
    </w:p>
    <w:p>
      <w:pPr>
        <w:pStyle w:val="BodyText"/>
      </w:pPr>
      <w:r>
        <w:t xml:space="preserve">When R moves onto this second command, it’s now checking to see if the geneID for the row is</w:t>
      </w:r>
      <w:r>
        <w:t xml:space="preserve"> </w:t>
      </w:r>
      <w:r>
        <w:t xml:space="preserve">“ENSMUSG00000024440”</w:t>
      </w:r>
      <w:r>
        <w:t xml:space="preserve">. If it is, then R fills in the</w:t>
      </w:r>
      <w:r>
        <w:t xml:space="preserve"> </w:t>
      </w:r>
      <w:r>
        <w:rPr>
          <w:rStyle w:val="VerbatimChar"/>
        </w:rPr>
        <w:t xml:space="preserve">gene_label</w:t>
      </w:r>
      <w:r>
        <w:t xml:space="preserve"> </w:t>
      </w:r>
      <w:r>
        <w:t xml:space="preserve">column with the gene symbol</w:t>
      </w:r>
      <w:r>
        <w:t xml:space="preserve"> </w:t>
      </w:r>
      <w:r>
        <w:t xml:space="preserve">“Pcdh12”</w:t>
      </w:r>
      <w:r>
        <w:t xml:space="preserve">. If it is not, R moves to the third command in the</w:t>
      </w:r>
      <w:r>
        <w:t xml:space="preserve"> </w:t>
      </w:r>
      <w:r>
        <w:rPr>
          <w:rStyle w:val="VerbatimChar"/>
        </w:rPr>
        <w:t xml:space="preserve">case_when</w:t>
      </w:r>
      <w:r>
        <w:t xml:space="preserve"> </w:t>
      </w:r>
      <w:r>
        <w:t xml:space="preserve">statement. The final line tells R to fill in the</w:t>
      </w:r>
      <w:r>
        <w:t xml:space="preserve"> </w:t>
      </w:r>
      <w:r>
        <w:rPr>
          <w:rStyle w:val="VerbatimChar"/>
        </w:rPr>
        <w:t xml:space="preserve">gene_label</w:t>
      </w:r>
      <w:r>
        <w:t xml:space="preserve"> </w:t>
      </w:r>
      <w:r>
        <w:t xml:space="preserve">column with</w:t>
      </w:r>
      <w:r>
        <w:t xml:space="preserve"> </w:t>
      </w:r>
      <w:r>
        <w:t xml:space="preserve">“NA”</w:t>
      </w:r>
      <w:r>
        <w:t xml:space="preserve"> </w:t>
      </w:r>
      <w:r>
        <w:t xml:space="preserve">for any row that didn’t match the previous commands. This will tell R in the future that the information for this column is missing.</w:t>
      </w:r>
    </w:p>
    <w:p>
      <w:pPr>
        <w:pStyle w:val="SourceCode"/>
      </w:pP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p>
    <w:p>
      <w:pPr>
        <w:pStyle w:val="FirstParagraph"/>
      </w:pPr>
      <w:r>
        <w:t xml:space="preserve">Great! You can check to see what the new column</w:t>
      </w:r>
      <w:r>
        <w:t xml:space="preserve"> </w:t>
      </w:r>
      <w:r>
        <w:rPr>
          <w:rStyle w:val="VerbatimChar"/>
        </w:rPr>
        <w:t xml:space="preserve">gene_label</w:t>
      </w:r>
      <w:r>
        <w:t xml:space="preserve"> </w:t>
      </w:r>
      <w:r>
        <w:t xml:space="preserve">looks like by using the</w:t>
      </w:r>
      <w:r>
        <w:t xml:space="preserve"> </w:t>
      </w:r>
      <w:r>
        <w:rPr>
          <w:rStyle w:val="VerbatimChar"/>
        </w:rPr>
        <w:t xml:space="preserve">head</w:t>
      </w:r>
      <w:r>
        <w:t xml:space="preserve"> </w:t>
      </w:r>
      <w:r>
        <w:t xml:space="preserve">command.</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10</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2 more variables: diffexpressed &lt;chr&gt;, gene_label &lt;chr&gt;</w:t>
      </w:r>
    </w:p>
    <w:p>
      <w:pPr>
        <w:pStyle w:val="FirstParagraph"/>
      </w:pPr>
      <w:r>
        <w:t xml:space="preserve">Now we just need to remake our volcano plot and add some to code that tells R to label the points we’re interested in. The command</w:t>
      </w:r>
      <w:r>
        <w:t xml:space="preserve"> </w:t>
      </w:r>
      <w:r>
        <w:rPr>
          <w:rStyle w:val="VerbatimChar"/>
        </w:rPr>
        <w:t xml:space="preserve">label = gene_label</w:t>
      </w:r>
      <w:r>
        <w:t xml:space="preserve"> </w:t>
      </w:r>
      <w:r>
        <w:t xml:space="preserve">goes right after the code that tells R how to color the points. We also need to add something at the end of our code that tells R to put the labels on top of the plot that we’ve made. That’s the</w:t>
      </w:r>
      <w:r>
        <w:t xml:space="preserve"> </w:t>
      </w:r>
      <w:r>
        <w:rPr>
          <w:rStyle w:val="VerbatimChar"/>
        </w:rPr>
        <w:t xml:space="preserve">+   geom_text_repel(max.overlaps = Inf)</w:t>
      </w:r>
      <w:r>
        <w:t xml:space="preserve"> </w:t>
      </w:r>
      <w:r>
        <w:t xml:space="preserve">command.</w:t>
      </w:r>
    </w:p>
    <w:p>
      <w:pPr>
        <w:pStyle w:val="BodyText"/>
      </w:pPr>
      <w:r>
        <w:t xml:space="preserve">In order for this command to work, we do need to install and load a new library called</w:t>
      </w:r>
      <w:r>
        <w:t xml:space="preserve"> </w:t>
      </w:r>
      <w:r>
        <w:rPr>
          <w:rStyle w:val="VerbatimChar"/>
        </w:rPr>
        <w:t xml:space="preserve">ggrepel</w:t>
      </w:r>
      <w:r>
        <w:t xml:space="preserve">.</w:t>
      </w:r>
    </w:p>
    <w:p>
      <w:pPr>
        <w:pStyle w:val="SourceCode"/>
      </w:pPr>
      <w:r>
        <w:rPr>
          <w:rStyle w:val="FunctionTok"/>
        </w:rPr>
        <w:t xml:space="preserve">install.packages</w:t>
      </w:r>
      <w:r>
        <w:rPr>
          <w:rStyle w:val="NormalTok"/>
        </w:rPr>
        <w:t xml:space="preserve">(</w:t>
      </w:r>
      <w:r>
        <w:rPr>
          <w:rStyle w:val="StringTok"/>
        </w:rPr>
        <w:t xml:space="preserve">'ggrepel'</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library</w:t>
      </w:r>
      <w:r>
        <w:rPr>
          <w:rStyle w:val="NormalTok"/>
        </w:rPr>
        <w:t xml:space="preserve">(ggrepel)</w:t>
      </w:r>
    </w:p>
    <w:p>
      <w:pPr>
        <w:pStyle w:val="FirstParagraph"/>
      </w:pPr>
      <w:r>
        <w:t xml:space="preserve">Excellent. Now that we have installed and loaded this package (which you only need to do once for each R session!), we can run the code to create the volcano plot. Remember, we added</w:t>
      </w:r>
      <w:r>
        <w:t xml:space="preserve"> </w:t>
      </w:r>
      <w:r>
        <w:rPr>
          <w:rStyle w:val="VerbatimChar"/>
        </w:rPr>
        <w:t xml:space="preserve">label = gene_label</w:t>
      </w:r>
      <w:r>
        <w:t xml:space="preserve"> </w:t>
      </w:r>
      <w:r>
        <w:t xml:space="preserve">to tell R to add labels to the points, and</w:t>
      </w:r>
      <w:r>
        <w:t xml:space="preserve"> </w:t>
      </w:r>
      <w:r>
        <w:rPr>
          <w:rStyle w:val="VerbatimChar"/>
        </w:rPr>
        <w:t xml:space="preserve">geom_text_repel(max.overlaps = Inf)</w:t>
      </w:r>
      <w:r>
        <w:t xml:space="preserve"> </w:t>
      </w:r>
      <w:r>
        <w:t xml:space="preserve">to tell R to put the labels on top of the plot so we can see them.</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3" name="Picture"/>
            <a:graphic>
              <a:graphicData uri="http://schemas.openxmlformats.org/drawingml/2006/picture">
                <pic:pic>
                  <pic:nvPicPr>
                    <pic:cNvPr descr="mouse_gutbrain_de_miniCURE_guide_files/figure-docx/unnamed-chunk-90-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want to add a title to your plot. This can be done with the</w:t>
      </w:r>
      <w:r>
        <w:t xml:space="preserve"> </w:t>
      </w:r>
      <w:r>
        <w:rPr>
          <w:rStyle w:val="VerbatimChar"/>
        </w:rPr>
        <w:t xml:space="preserve">ggtitle</w:t>
      </w:r>
      <w:r>
        <w:t xml:space="preserve"> </w:t>
      </w:r>
      <w:r>
        <w:t xml:space="preserve">command.</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6" name="Picture"/>
            <a:graphic>
              <a:graphicData uri="http://schemas.openxmlformats.org/drawingml/2006/picture">
                <pic:pic>
                  <pic:nvPicPr>
                    <pic:cNvPr descr="mouse_gutbrain_de_miniCURE_guide_files/figure-docx/unnamed-chunk-91-1.png" id="267" name="Picture"/>
                    <pic:cNvPicPr>
                      <a:picLocks noChangeArrowheads="1" noChangeAspect="1"/>
                    </pic:cNvPicPr>
                  </pic:nvPicPr>
                  <pic:blipFill>
                    <a:blip r:embed="rId2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Here’s all the code we used to build a volcano plot in one place so that you can easily run it again (and make modifications).</w:t>
      </w:r>
    </w:p>
    <w:p>
      <w:pPr>
        <w:pStyle w:val="SourceCode"/>
      </w:pPr>
      <w:r>
        <w:rPr>
          <w:rStyle w:val="CommentTok"/>
        </w:rPr>
        <w:t xml:space="preserve">#log transform the padj values so the y-axis is formatted for plotting</w:t>
      </w:r>
      <w:r>
        <w:br/>
      </w: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r>
        <w:br/>
      </w:r>
      <w:r>
        <w:br/>
      </w:r>
      <w:r>
        <w:rPr>
          <w:rStyle w:val="CommentTok"/>
        </w:rPr>
        <w:t xml:space="preserve">#Create the diffexpressed column so that we can color the upregulated and downregulated genes on the plot</w:t>
      </w:r>
      <w:r>
        <w:br/>
      </w: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CommentTok"/>
        </w:rPr>
        <w:t xml:space="preserve">#Create the gene_label column so that we can label individual points</w:t>
      </w:r>
      <w:r>
        <w:br/>
      </w: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r>
        <w:br/>
      </w:r>
      <w:r>
        <w:br/>
      </w:r>
      <w:r>
        <w:rPr>
          <w:rStyle w:val="CommentTok"/>
        </w:rPr>
        <w:t xml:space="preserve">#Make the final plot</w:t>
      </w:r>
      <w:r>
        <w:br/>
      </w: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bookmarkStart w:id="274" w:name="refs"/>
    <w:bookmarkStart w:id="26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268">
        <w:r>
          <w:rPr>
            <w:rStyle w:val="Hyperlink"/>
          </w:rPr>
          <w:t xml:space="preserve">https://pubmed.ncbi.nlm.nih.gov/31150625/</w:t>
        </w:r>
      </w:hyperlink>
    </w:p>
    <w:bookmarkEnd w:id="269"/>
    <w:bookmarkStart w:id="271"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270">
        <w:r>
          <w:rPr>
            <w:rStyle w:val="Hyperlink"/>
          </w:rPr>
          <w:t xml:space="preserve">https://www.cshl.edu/of-mice-and-model-organisms/</w:t>
        </w:r>
      </w:hyperlink>
    </w:p>
    <w:bookmarkEnd w:id="271"/>
    <w:bookmarkStart w:id="273"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272">
        <w:r>
          <w:rPr>
            <w:rStyle w:val="Hyperlink"/>
          </w:rPr>
          <w:t xml:space="preserve">https://fbresearch.org/medical-advances/nobel-prizes/</w:t>
        </w:r>
      </w:hyperlink>
    </w:p>
    <w:bookmarkEnd w:id="273"/>
    <w:bookmarkEnd w:id="274"/>
    <w:bookmarkEnd w:id="275"/>
    <w:bookmarkEnd w:id="2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11" Target="media/rId2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81" Target="media/rId81.png" /><Relationship Type="http://schemas.openxmlformats.org/officeDocument/2006/relationships/image" Id="rId184" Target="media/rId184.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250" Target="media/rId250.png" /><Relationship Type="http://schemas.openxmlformats.org/officeDocument/2006/relationships/image" Id="rId25" Target="media/rId25.png" /><Relationship Type="http://schemas.openxmlformats.org/officeDocument/2006/relationships/image" Id="rId158" Target="media/rId158.png" /><Relationship Type="http://schemas.openxmlformats.org/officeDocument/2006/relationships/image" Id="rId217" Target="media/rId21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55" Target="media/rId55.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08" Target="media/rId208.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161" Target="media/rId161.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53" Target="media/rId253.png" /><Relationship Type="http://schemas.openxmlformats.org/officeDocument/2006/relationships/image" Id="rId224" Target="media/rId22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_rels/footnotes.xml.rels><?xml version="1.0" encoding="UTF-8"?><Relationships xmlns="http://schemas.openxmlformats.org/package/2006/relationships"><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2026-10-01T18:29:12Z</dcterms:created>
  <dcterms:modified xsi:type="dcterms:W3CDTF">2026-10-01T18:29:12Z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