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2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Gut Check: AI and Genomic Literature</w:t>
        </w:r>
      </w:hyperlink>
    </w:p>
    <w:bookmarkEnd w:id="22"/>
    <w:bookmarkStart w:id="29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Population Genetics: Fish Pond Simulator</w:t>
        </w:r>
      </w:hyperlink>
    </w:p>
    <w:bookmarkEnd w:id="29"/>
    <w:bookmarkStart w:id="31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Differential Expression and the Mouse Gut-Brain Axis</w:t>
        </w:r>
      </w:hyperlink>
    </w:p>
    <w:bookmarkEnd w:id="31"/>
    <w:bookmarkStart w:id="33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Exam Physiology: Wearable Data and Stress</w:t>
        </w:r>
      </w:hyperlink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2026-07-22T22:36:52Z</dcterms:created>
  <dcterms:modified xsi:type="dcterms:W3CDTF">2026-07-22T22:36:52Z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