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1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bookmarkEnd w:id="21"/>
    <w:bookmarkStart w:id="26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Population Genetics: Fish Pond Simulator</w:t>
        </w:r>
      </w:hyperlink>
    </w:p>
    <w:bookmarkEnd w:id="26"/>
    <w:bookmarkStart w:id="28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Differential Expression and the Mouse Gut-Brain Axis</w:t>
        </w:r>
      </w:hyperlink>
    </w:p>
    <w:bookmarkEnd w:id="28"/>
    <w:bookmarkStart w:id="30" w:name="other-modules"/>
    <w:p>
      <w:pPr>
        <w:pStyle w:val="Heading2"/>
      </w:pPr>
      <w:r>
        <w:t xml:space="preserve">Other Modules</w:t>
      </w:r>
    </w:p>
    <w:p>
      <w:pPr>
        <w:pStyle w:val="FirstParagraph"/>
      </w:pPr>
      <w:r>
        <w:t xml:space="preserve">These modules are not strictly part of GEMs, but were created by our group and others.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Exam Physiology: Wearable Data and Stress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9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9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2026-02-20T14:28:00Z</dcterms:created>
  <dcterms:modified xsi:type="dcterms:W3CDTF">2026-02-20T14:28:00Z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