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111.png" ContentType="image/png"/>
  <Override PartName="/word/media/rId102.png" ContentType="image/png"/>
  <Override PartName="/word/media/rId29.png" ContentType="image/png"/>
  <Override PartName="/word/media/rId26.png" ContentType="image/png"/>
  <Override PartName="/word/media/rId38.png" ContentType="image/png"/>
  <Override PartName="/word/media/rId41.png" ContentType="image/png"/>
  <Override PartName="/word/media/rId64.png" ContentType="image/png"/>
  <Override PartName="/word/media/rId74.png" ContentType="image/png"/>
  <Override PartName="/word/media/rId85.png" ContentType="image/png"/>
  <Override PartName="/word/media/rId53.png" ContentType="image/png"/>
  <Override PartName="/word/media/rId58.png" ContentType="image/png"/>
  <Override PartName="/word/media/rId70.png" ContentType="image/png"/>
  <Override PartName="/word/media/rId77.png" ContentType="image/png"/>
  <Override PartName="/word/media/rId82.png" ContentType="image/png"/>
  <Override PartName="/word/media/rId67.png" ContentType="image/png"/>
  <Override PartName="/word/media/rId93.png" ContentType="image/png"/>
  <Override PartName="/word/media/rId96.png" ContentType="image/png"/>
  <Override PartName="/word/media/rId47.png" ContentType="image/png"/>
  <Override PartName="/word/media/rId50.png" ContentType="image/png"/>
  <Override PartName="/word/media/rId99.png" ContentType="image/png"/>
  <Override PartName="/word/media/rId105.png" ContentType="image/png"/>
  <Override PartName="/word/media/rId1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w:t>
      </w:r>
      <w:r>
        <w:t xml:space="preserve"> </w:t>
      </w:r>
      <w:r>
        <w:t xml:space="preserve">Detectives:</w:t>
      </w:r>
      <w:r>
        <w:t xml:space="preserve"> </w:t>
      </w:r>
      <w:r>
        <w:t xml:space="preserve">Exploring</w:t>
      </w:r>
      <w:r>
        <w:t xml:space="preserve"> </w:t>
      </w:r>
      <w:r>
        <w:t xml:space="preserve">Public</w:t>
      </w:r>
      <w:r>
        <w:t xml:space="preserve"> </w:t>
      </w:r>
      <w:r>
        <w:t xml:space="preserve">Genomic</w:t>
      </w:r>
      <w:r>
        <w:t xml:space="preserve"> </w:t>
      </w:r>
      <w:r>
        <w:t xml:space="preserve">Databases</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r>
        <w:t xml:space="preserve"> </w:t>
      </w:r>
      <w:r>
        <w:t xml:space="preserve">[1]</w:t>
      </w:r>
      <w:r>
        <w:t xml:space="preserve">.</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rPr>
          <w:b/>
          <w:bCs/>
        </w:rPr>
        <w:t xml:space="preserve">pipe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database_detectiv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rPr>
          <w:b/>
          <w:bCs/>
        </w:rPr>
        <w:t xml:space="preserve">pipe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w:t>
      </w:r>
      <w:r>
        <w:t xml:space="preserve"> </w:t>
      </w:r>
      <w:r>
        <w:rPr>
          <w:b/>
          <w:bCs/>
        </w:rPr>
        <w:t xml:space="preserve">pipe</w:t>
      </w:r>
      <w:r>
        <w:t xml:space="preserve"> </w:t>
      </w:r>
      <w:r>
        <w:t xml:space="preserve">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database_detectiv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w:t>
      </w:r>
      <w:r>
        <w:t xml:space="preserve"> </w:t>
      </w:r>
      <w:r>
        <w:rPr>
          <w:b/>
          <w:bCs/>
        </w:rPr>
        <w:t xml:space="preserve">pipe</w:t>
      </w:r>
      <w:r>
        <w:t xml:space="preserve">, we can see that it’s an enzyme involved in development, gene expression, protein metabolism. We also see that the</w:t>
      </w:r>
      <w:r>
        <w:t xml:space="preserve"> </w:t>
      </w:r>
      <w:r>
        <w:rPr>
          <w:b/>
          <w:bCs/>
        </w:rPr>
        <w:t xml:space="preserve">pipe</w:t>
      </w:r>
      <w:r>
        <w:t xml:space="preserve"> </w:t>
      </w:r>
      <w:r>
        <w:t xml:space="preserve">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database_detectiv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We can see that</w:t>
      </w:r>
      <w:r>
        <w:t xml:space="preserve"> </w:t>
      </w:r>
      <w:r>
        <w:rPr>
          <w:b/>
          <w:bCs/>
        </w:rPr>
        <w:t xml:space="preserve">pipe</w:t>
      </w:r>
      <w:r>
        <w:t xml:space="preserve"> </w:t>
      </w:r>
      <w:r>
        <w:t xml:space="preserve">codes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90" w:name="part-2"/>
    <w:p>
      <w:pPr>
        <w:pStyle w:val="Heading2"/>
      </w:pPr>
      <w:r>
        <w:t xml:space="preserve">Part 2</w:t>
      </w:r>
    </w:p>
    <w:p>
      <w:pPr>
        <w:pStyle w:val="FirstParagraph"/>
      </w:pPr>
      <w:r>
        <w:t xml:space="preserve">Next, let’s explore additional genomic databases beyond FlyBase to characterize the homologs and orthologs to the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opt/quarto/share/formats/docx/note.png" id="3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An</w:t>
            </w:r>
            <w:r>
              <w:t xml:space="preserve"> </w:t>
            </w:r>
            <w:r>
              <w:rPr>
                <w:b/>
                <w:bCs/>
              </w:rPr>
              <w:t xml:space="preserve">ortholog</w:t>
            </w:r>
            <w:r>
              <w:t xml:space="preserve"> </w:t>
            </w:r>
            <w:r>
              <w:t xml:space="preserve">is another term for a gene or protein that is similar due to having a common evolutionary origin, but in order to be an ortholog, the two genes must</w:t>
            </w:r>
            <w:r>
              <w:t xml:space="preserve"> </w:t>
            </w:r>
            <w:r>
              <w:rPr>
                <w:i/>
                <w:iCs/>
              </w:rPr>
              <w:t xml:space="preserve">also</w:t>
            </w:r>
            <w:r>
              <w:t xml:space="preserve"> </w:t>
            </w:r>
            <w:r>
              <w:t xml:space="preserve">have similar functions within the different species. An ortholog is a specialized kind of homolog.</w:t>
            </w:r>
          </w:p>
          <w:p>
            <w:pPr>
              <w:pStyle w:val="BodyText"/>
            </w:pPr>
            <w:pPr>
              <w:spacing w:after="16"/>
            </w:pPr>
            <w:r>
              <w:t xml:space="preserve">Genomic databases will report both homologs and orthologs.</w:t>
            </w:r>
          </w:p>
        </w:tc>
      </w:tr>
    </w:tbl>
    <w:p>
      <w:pPr>
        <w:pStyle w:val="BodyText"/>
      </w:pPr>
      <w:r>
        <w:t xml:space="preserve">First, we need to find out what the name of the homologous genes are. The gene IDs and common names differ between species. If we keep scrolling down the page on the</w:t>
      </w:r>
      <w:r>
        <w:t xml:space="preserve"> </w:t>
      </w:r>
      <w:r>
        <w:rPr>
          <w:b/>
          <w:bCs/>
        </w:rPr>
        <w:t xml:space="preserve">pipe</w:t>
      </w:r>
      <w:r>
        <w:t xml:space="preserve"> </w:t>
      </w:r>
      <w:r>
        <w:t xml:space="preserve">gene in FlyBase, we can find what those homologous genes are called in our species of interest.</w:t>
      </w:r>
    </w:p>
    <w:p>
      <w:pPr>
        <w:pStyle w:val="BodyText"/>
      </w:pPr>
      <w:r>
        <w:t xml:space="preserve">It turns out that the human gene most likely to be a homolog of</w:t>
      </w:r>
      <w:r>
        <w:t xml:space="preserve"> </w:t>
      </w:r>
      <w:r>
        <w:rPr>
          <w:b/>
          <w:bCs/>
        </w:rPr>
        <w:t xml:space="preserve">pipe</w:t>
      </w:r>
      <w:r>
        <w:t xml:space="preserve"> </w:t>
      </w:r>
      <w:r>
        <w:t xml:space="preserve">is called</w:t>
      </w:r>
      <w:r>
        <w:t xml:space="preserve"> </w:t>
      </w:r>
      <w:r>
        <w:rPr>
          <w:b/>
          <w:bCs/>
        </w:rPr>
        <w:t xml:space="preserve">UST</w:t>
      </w:r>
      <w:r>
        <w:t xml:space="preserve">.</w:t>
      </w:r>
    </w:p>
    <w:p>
      <w:pPr>
        <w:pStyle w:val="BodyText"/>
      </w:pPr>
      <w:r>
        <w:drawing>
          <wp:inline>
            <wp:extent cx="4800600" cy="2700337"/>
            <wp:effectExtent b="0" l="0" r="0" t="0"/>
            <wp:docPr descr="" title="" id="39" name="Picture"/>
            <a:graphic>
              <a:graphicData uri="http://schemas.openxmlformats.org/drawingml/2006/picture">
                <pic:pic>
                  <pic:nvPicPr>
                    <pic:cNvPr descr="database_detectives_student_guide_files/figure-docx//1fy3FwkSLETnRUdf8huddq2n4qcb6eOyzwVg05dbudII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w:t>
      </w:r>
      <w:r>
        <w:t xml:space="preserve"> </w:t>
      </w:r>
      <w:r>
        <w:rPr>
          <w:b/>
          <w:bCs/>
        </w:rPr>
        <w:t xml:space="preserve">Ust</w:t>
      </w:r>
      <w:r>
        <w:t xml:space="preserve">. In the zebrafish (</w:t>
      </w:r>
      <w:r>
        <w:rPr>
          <w:i/>
          <w:iCs/>
        </w:rPr>
        <w:t xml:space="preserve">Danio rerio</w:t>
      </w:r>
      <w:r>
        <w:t xml:space="preserve">), it is most likely to be</w:t>
      </w:r>
      <w:r>
        <w:t xml:space="preserve"> </w:t>
      </w:r>
      <w:r>
        <w:rPr>
          <w:b/>
          <w:bCs/>
        </w:rPr>
        <w:t xml:space="preserve">usta</w:t>
      </w:r>
      <w:r>
        <w:t xml:space="preserve">.</w:t>
      </w:r>
    </w:p>
    <w:p>
      <w:pPr>
        <w:pStyle w:val="BodyText"/>
      </w:pPr>
      <w:r>
        <w:drawing>
          <wp:inline>
            <wp:extent cx="4800600" cy="2700337"/>
            <wp:effectExtent b="0" l="0" r="0" t="0"/>
            <wp:docPr descr="" title="" id="42" name="Picture"/>
            <a:graphic>
              <a:graphicData uri="http://schemas.openxmlformats.org/drawingml/2006/picture">
                <pic:pic>
                  <pic:nvPicPr>
                    <pic:cNvPr descr="database_detectives_student_guide_files/figure-docx//1fy3FwkSLETnRUdf8huddq2n4qcb6eOyzwVg05dbudII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4">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r>
        <w:t xml:space="preserve"> </w:t>
      </w:r>
      <w:r>
        <w:t xml:space="preserve">[2]</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mouse?</w:t>
            </w:r>
          </w:p>
          <w:p>
            <w:pPr>
              <w:pStyle w:val="BodyText"/>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pPr>
              <w:spacing w:after="16"/>
            </w:pPr>
            <w:r>
              <w:t xml:space="preserve">So what makes mice such good model organisms for biomedical research? One reason is that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w:t>
            </w:r>
          </w:p>
        </w:tc>
      </w:tr>
    </w:tbl>
    <w:p>
      <w:pPr>
        <w:pStyle w:val="BodyText"/>
      </w:pPr>
      <w:r>
        <w:t xml:space="preserve">Open the MGI database and search for the name of the mouse homolog</w:t>
      </w:r>
      <w:r>
        <w:t xml:space="preserve"> </w:t>
      </w:r>
      <w:r>
        <w:rPr>
          <w:b/>
          <w:bCs/>
        </w:rPr>
        <w:t xml:space="preserve">Ust</w:t>
      </w:r>
      <w:r>
        <w:t xml:space="preserve">. You can do this either by typing</w:t>
      </w:r>
      <w:r>
        <w:t xml:space="preserve"> </w:t>
      </w:r>
      <w:r>
        <w:rPr>
          <w:b/>
          <w:bCs/>
        </w:rPr>
        <w:t xml:space="preserve">Ust</w:t>
      </w:r>
      <w:r>
        <w:t xml:space="preserve"> </w:t>
      </w:r>
      <w:r>
        <w:t xml:space="preserve">into the search bar and clicking</w:t>
      </w:r>
      <w:r>
        <w:t xml:space="preserve"> </w:t>
      </w:r>
      <w:r>
        <w:t xml:space="preserve">“</w:t>
      </w:r>
      <w:r>
        <w:t xml:space="preserve">Quick Search</w:t>
      </w:r>
      <w:r>
        <w:t xml:space="preserve">”</w:t>
      </w:r>
      <w:r>
        <w:t xml:space="preserve"> </w:t>
      </w:r>
      <w:r>
        <w:t xml:space="preserve">or by doing a topic specific search with the</w:t>
      </w:r>
      <w:r>
        <w:t xml:space="preserve"> </w:t>
      </w:r>
      <w:r>
        <w:t xml:space="preserve">“</w:t>
      </w:r>
      <w:r>
        <w:t xml:space="preserve">Genes</w:t>
      </w:r>
      <w:r>
        <w:t xml:space="preserve">”</w:t>
      </w:r>
      <w:r>
        <w:t xml:space="preserve"> </w:t>
      </w:r>
      <w:r>
        <w:t xml:space="preserve">toolbar.</w:t>
      </w:r>
    </w:p>
    <w:p>
      <w:pPr>
        <w:pStyle w:val="BodyText"/>
      </w:pPr>
      <w:r>
        <w:drawing>
          <wp:inline>
            <wp:extent cx="4800600" cy="2700337"/>
            <wp:effectExtent b="0" l="0" r="0" t="0"/>
            <wp:docPr descr="" title="" id="48" name="Picture"/>
            <a:graphic>
              <a:graphicData uri="http://schemas.openxmlformats.org/drawingml/2006/picture">
                <pic:pic>
                  <pic:nvPicPr>
                    <pic:cNvPr descr="database_detectives_student_guide_files/figure-docx//1fy3FwkSLETnRUdf8huddq2n4qcb6eOyzwVg05dbudII_g35f41619954_0_41.png" id="49" name="Picture"/>
                    <pic:cNvPicPr>
                      <a:picLocks noChangeArrowheads="1" noChangeAspect="1"/>
                    </pic:cNvPicPr>
                  </pic:nvPicPr>
                  <pic:blipFill>
                    <a:blip r:embed="rId4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w:t>
      </w:r>
      <w:r>
        <w:t xml:space="preserve"> </w:t>
      </w:r>
      <w:r>
        <w:t xml:space="preserve">“</w:t>
      </w:r>
      <w:r>
        <w:t xml:space="preserve">Genome Features</w:t>
      </w:r>
      <w:r>
        <w:t xml:space="preserve">”</w:t>
      </w:r>
      <w:r>
        <w:t xml:space="preserve"> </w:t>
      </w:r>
      <w:r>
        <w:t xml:space="preserve">summary table should open up with information about</w:t>
      </w:r>
      <w:r>
        <w:t xml:space="preserve"> </w:t>
      </w:r>
      <w:r>
        <w:rPr>
          <w:b/>
          <w:bCs/>
        </w:rPr>
        <w:t xml:space="preserve">Ust</w:t>
      </w:r>
      <w:r>
        <w:t xml:space="preserve">. MGI tells us that</w:t>
      </w:r>
      <w:r>
        <w:t xml:space="preserve"> </w:t>
      </w:r>
      <w:r>
        <w:rPr>
          <w:b/>
          <w:bCs/>
        </w:rPr>
        <w:t xml:space="preserve">Ust</w:t>
      </w:r>
      <w:r>
        <w:t xml:space="preserve"> </w:t>
      </w:r>
      <w:r>
        <w:t xml:space="preserve">is a protein-coding gene on chromosome 10. Clicking on the highlighted gene symbol will take us to a page with more detail.</w:t>
      </w:r>
    </w:p>
    <w:p>
      <w:pPr>
        <w:pStyle w:val="BodyText"/>
      </w:pPr>
      <w:r>
        <w:drawing>
          <wp:inline>
            <wp:extent cx="4800600" cy="2700337"/>
            <wp:effectExtent b="0" l="0" r="0" t="0"/>
            <wp:docPr descr="" title="" id="51" name="Picture"/>
            <a:graphic>
              <a:graphicData uri="http://schemas.openxmlformats.org/drawingml/2006/picture">
                <pic:pic>
                  <pic:nvPicPr>
                    <pic:cNvPr descr="database_detectives_student_guide_files/figure-docx//1fy3FwkSLETnRUdf8huddq2n4qcb6eOyzwVg05dbudII_g35f41619954_0_46.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kinds of information you found in FlyBase will also be present on the detailed gene page in MGI. The information is organized into sections, similar to what you’ve already experienced with FlyBase. The fourth section down includes information about the human ortholog to</w:t>
      </w:r>
      <w:r>
        <w:t xml:space="preserve"> </w:t>
      </w:r>
      <w:r>
        <w:rPr>
          <w:b/>
          <w:bCs/>
        </w:rPr>
        <w:t xml:space="preserve">Ust</w:t>
      </w:r>
      <w:r>
        <w:t xml:space="preserve"> </w:t>
      </w:r>
      <w:r>
        <w:t xml:space="preserve">- it turns out to be</w:t>
      </w:r>
      <w:r>
        <w:t xml:space="preserve"> </w:t>
      </w:r>
      <w:r>
        <w:rPr>
          <w:b/>
          <w:bCs/>
        </w:rPr>
        <w:t xml:space="preserve">UST</w:t>
      </w:r>
      <w:r>
        <w:t xml:space="preserve">, which we already knew from FlyBase.</w:t>
      </w:r>
    </w:p>
    <w:p>
      <w:pPr>
        <w:pStyle w:val="BodyText"/>
      </w:pPr>
      <w:r>
        <w:drawing>
          <wp:inline>
            <wp:extent cx="4800600" cy="2700337"/>
            <wp:effectExtent b="0" l="0" r="0" t="0"/>
            <wp:docPr descr="" title="" id="54" name="Picture"/>
            <a:graphic>
              <a:graphicData uri="http://schemas.openxmlformats.org/drawingml/2006/picture">
                <pic:pic>
                  <pic:nvPicPr>
                    <pic:cNvPr descr="database_detectives_student_guide_files/figure-docx//1fy3FwkSLETnRUdf8huddq2n4qcb6eOyzwVg05dbudII_g35e6d9f15b7_13_3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Farther down the page is a section called</w:t>
      </w:r>
      <w:r>
        <w:t xml:space="preserve"> </w:t>
      </w:r>
      <w:r>
        <w:t xml:space="preserve">“</w:t>
      </w:r>
      <w:r>
        <w:t xml:space="preserve">Gene Ontology (GO) Classifications</w:t>
      </w:r>
      <w:r>
        <w:t xml:space="preserve">”</w:t>
      </w:r>
      <w:r>
        <w:t xml:space="preserve">. This is the section that has information about the molecular functions, biological processes, and cellular components for</w:t>
      </w:r>
      <w:r>
        <w:t xml:space="preserve"> </w:t>
      </w:r>
      <w:r>
        <w:rPr>
          <w:b/>
          <w:bCs/>
        </w:rPr>
        <w:t xml:space="preserve">Ust</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6" name="Picture"/>
                  <a:graphic>
                    <a:graphicData uri="http://schemas.openxmlformats.org/drawingml/2006/picture">
                      <pic:pic>
                        <pic:nvPicPr>
                          <pic:cNvPr descr="/opt/quarto/share/formats/docx/note.png" id="57"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w:t>
            </w:r>
            <w:r>
              <w:t xml:space="preserve">Gene ontology</w:t>
            </w:r>
            <w:r>
              <w:t xml:space="preserve">”</w:t>
            </w:r>
            <w:r>
              <w:t xml:space="preserve"> </w:t>
            </w:r>
            <w:r>
              <w:t xml:space="preserve">is a bioinformatics initiative focused on standardizing the vocabulary and annotations researchers use to describe genes, proteins, and data about gene and protein function. This effort allows us to more easily make comparisons about homologous and orthologous genes and proteins across species.</w:t>
            </w:r>
          </w:p>
        </w:tc>
      </w:tr>
    </w:tbl>
    <w:p>
      <w:pPr>
        <w:pStyle w:val="BodyText"/>
      </w:pPr>
      <w:r>
        <w:t xml:space="preserve">In mice,</w:t>
      </w:r>
      <w:r>
        <w:t xml:space="preserve"> </w:t>
      </w:r>
      <w:r>
        <w:rPr>
          <w:b/>
          <w:bCs/>
        </w:rPr>
        <w:t xml:space="preserve">Ust</w:t>
      </w:r>
      <w:r>
        <w:t xml:space="preserve"> </w:t>
      </w:r>
      <w:r>
        <w:t xml:space="preserve">is a tranferase (an enzyme!) involved in carbohydrate derivative binding.</w:t>
      </w:r>
    </w:p>
    <w:p>
      <w:pPr>
        <w:pStyle w:val="BodyText"/>
      </w:pPr>
      <w:r>
        <w:drawing>
          <wp:inline>
            <wp:extent cx="4800600" cy="2700337"/>
            <wp:effectExtent b="0" l="0" r="0" t="0"/>
            <wp:docPr descr="" title="" id="59" name="Picture"/>
            <a:graphic>
              <a:graphicData uri="http://schemas.openxmlformats.org/drawingml/2006/picture">
                <pic:pic>
                  <pic:nvPicPr>
                    <pic:cNvPr descr="database_detectives_student_guide_files/figure-docx//1fy3FwkSLETnRUdf8huddq2n4qcb6eOyzwVg05dbudII_g35e6d9f15b7_13_40.png" id="60" name="Picture"/>
                    <pic:cNvPicPr>
                      <a:picLocks noChangeArrowheads="1" noChangeAspect="1"/>
                    </pic:cNvPicPr>
                  </pic:nvPicPr>
                  <pic:blipFill>
                    <a:blip r:embed="rId5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In order to look up information about the zebrafish homolog, we need to switch databases again.</w:t>
      </w:r>
    </w:p>
    <w:p>
      <w:pPr>
        <w:pStyle w:val="BodyText"/>
      </w:pPr>
      <w:r>
        <w:t xml:space="preserve">The</w:t>
      </w:r>
      <w:r>
        <w:t xml:space="preserve"> </w:t>
      </w:r>
      <w:hyperlink r:id="rId61">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r>
        <w:t xml:space="preserve"> </w:t>
      </w:r>
      <w:r>
        <w:t xml:space="preserve">[3]</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note.png" id="63"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pPr>
            <w:r>
              <w:t xml:space="preserve">Why do we have a database devoted to the zebrafish?</w:t>
            </w:r>
          </w:p>
          <w:p>
            <w:pPr>
              <w:pStyle w:val="BodyText"/>
            </w:pPr>
            <w:r>
              <w:t xml:space="preserve">Zebrafish are a popular model organism for researchers who focus on developmental biology, genetics, and modeling diseases. They develop rapidly and have high fertility, so it can be relatively quick and fast to study the effects of genes or diseases over multiple generations. They are also transparent, which is especially useful for watching how organs develop as the zebrafish matures.</w:t>
            </w:r>
          </w:p>
          <w:p>
            <w:pPr>
              <w:pStyle w:val="BodyText"/>
            </w:pPr>
            <w:pPr>
              <w:spacing w:after="16"/>
            </w:pPr>
            <w:r>
              <w:t xml:space="preserve">Zebrafish share a high degree of genetic homology with humans!</w:t>
            </w:r>
          </w:p>
        </w:tc>
      </w:tr>
    </w:tbl>
    <w:p>
      <w:pPr>
        <w:pStyle w:val="BodyText"/>
      </w:pPr>
      <w:r>
        <w:t xml:space="preserve">Open ZFIN and search for the zebrafish homolog</w:t>
      </w:r>
      <w:r>
        <w:t xml:space="preserve"> </w:t>
      </w:r>
      <w:r>
        <w:rPr>
          <w:b/>
          <w:bCs/>
        </w:rPr>
        <w:t xml:space="preserve">usta</w:t>
      </w:r>
      <w:r>
        <w:t xml:space="preserve">. The ZFIN search bar will offer some options to refine your search. Choose</w:t>
      </w:r>
      <w:r>
        <w:t xml:space="preserve"> </w:t>
      </w:r>
      <w:r>
        <w:t xml:space="preserve">“</w:t>
      </w:r>
      <w:r>
        <w:t xml:space="preserve">Gene/Transcript</w:t>
      </w:r>
      <w:r>
        <w:t xml:space="preserve">”</w:t>
      </w:r>
      <w:r>
        <w:t xml:space="preserve"> </w:t>
      </w:r>
      <w:r>
        <w:t xml:space="preserve">from the drop down menu.</w:t>
      </w:r>
    </w:p>
    <w:p>
      <w:pPr>
        <w:pStyle w:val="BodyText"/>
      </w:pPr>
      <w:r>
        <w:drawing>
          <wp:inline>
            <wp:extent cx="4800600" cy="2700337"/>
            <wp:effectExtent b="0" l="0" r="0" t="0"/>
            <wp:docPr descr="" title="" id="65" name="Picture"/>
            <a:graphic>
              <a:graphicData uri="http://schemas.openxmlformats.org/drawingml/2006/picture">
                <pic:pic>
                  <pic:nvPicPr>
                    <pic:cNvPr descr="database_detectives_student_guide_files/figure-docx//1fy3FwkSLETnRUdf8huddq2n4qcb6eOyzwVg05dbudII_g35e6d9f15b7_13_13.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ZFIN takes you directly to the gene page for</w:t>
      </w:r>
      <w:r>
        <w:t xml:space="preserve"> </w:t>
      </w:r>
      <w:r>
        <w:rPr>
          <w:b/>
          <w:bCs/>
        </w:rPr>
        <w:t xml:space="preserve">usta</w:t>
      </w:r>
      <w:r>
        <w:t xml:space="preserve">. A summary of basic information about</w:t>
      </w:r>
      <w:r>
        <w:t xml:space="preserve"> </w:t>
      </w:r>
      <w:r>
        <w:rPr>
          <w:b/>
          <w:bCs/>
        </w:rPr>
        <w:t xml:space="preserve">usta</w:t>
      </w:r>
      <w:r>
        <w:t xml:space="preserve"> </w:t>
      </w:r>
      <w:r>
        <w:t xml:space="preserve">is at the top, with more detailed sections as you scroll down. Without much searching, we discover that</w:t>
      </w:r>
      <w:r>
        <w:t xml:space="preserve"> </w:t>
      </w:r>
      <w:r>
        <w:rPr>
          <w:b/>
          <w:bCs/>
        </w:rPr>
        <w:t xml:space="preserve">usta</w:t>
      </w:r>
      <w:r>
        <w:t xml:space="preserve"> </w:t>
      </w:r>
      <w:r>
        <w:t xml:space="preserve">is located on chromosome 20 and is predicted to enable sulfotransferase activity.</w:t>
      </w:r>
    </w:p>
    <w:p>
      <w:pPr>
        <w:pStyle w:val="BodyText"/>
      </w:pPr>
      <w:r>
        <w:drawing>
          <wp:inline>
            <wp:extent cx="4800600" cy="2700337"/>
            <wp:effectExtent b="0" l="0" r="0" t="0"/>
            <wp:docPr descr="" title="" id="68" name="Picture"/>
            <a:graphic>
              <a:graphicData uri="http://schemas.openxmlformats.org/drawingml/2006/picture">
                <pic:pic>
                  <pic:nvPicPr>
                    <pic:cNvPr descr="database_detectives_student_guide_files/figure-docx//1fy3FwkSLETnRUdf8huddq2n4qcb6eOyzwVg05dbudII_g35e6d9f15b7_13_8.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Clicking on</w:t>
      </w:r>
      <w:r>
        <w:t xml:space="preserve"> </w:t>
      </w:r>
      <w:r>
        <w:t xml:space="preserve">“</w:t>
      </w:r>
      <w:r>
        <w:t xml:space="preserve">Gene Ontology</w:t>
      </w:r>
      <w:r>
        <w:t xml:space="preserve">”</w:t>
      </w:r>
      <w:r>
        <w:t xml:space="preserve"> </w:t>
      </w:r>
      <w:r>
        <w:t xml:space="preserve">in the menu on the left takes you to a more detailed list of the molecular functions associated with</w:t>
      </w:r>
      <w:r>
        <w:t xml:space="preserve"> </w:t>
      </w:r>
      <w:r>
        <w:rPr>
          <w:b/>
          <w:bCs/>
        </w:rPr>
        <w:t xml:space="preserve">usta</w:t>
      </w:r>
      <w:r>
        <w:t xml:space="preserve">. The summary on top just mentioned the words</w:t>
      </w:r>
      <w:r>
        <w:t xml:space="preserve"> </w:t>
      </w:r>
      <w:r>
        <w:t xml:space="preserve">“</w:t>
      </w:r>
      <w:r>
        <w:t xml:space="preserve">sulfotransferase activity</w:t>
      </w:r>
      <w:r>
        <w:t xml:space="preserve">”</w:t>
      </w:r>
      <w:r>
        <w:t xml:space="preserve">; in the Gene Ontology section, we learn that</w:t>
      </w:r>
      <w:r>
        <w:t xml:space="preserve"> </w:t>
      </w:r>
      <w:r>
        <w:rPr>
          <w:b/>
          <w:bCs/>
        </w:rPr>
        <w:t xml:space="preserve">usta</w:t>
      </w:r>
      <w:r>
        <w:t xml:space="preserve"> </w:t>
      </w:r>
      <w:r>
        <w:t xml:space="preserve">is involved in catalytic activity and enzyme regulator activity as well.</w:t>
      </w:r>
    </w:p>
    <w:p>
      <w:pPr>
        <w:pStyle w:val="BodyText"/>
      </w:pPr>
      <w:r>
        <w:drawing>
          <wp:inline>
            <wp:extent cx="4800600" cy="2700337"/>
            <wp:effectExtent b="0" l="0" r="0" t="0"/>
            <wp:docPr descr="" title="" id="71" name="Picture"/>
            <a:graphic>
              <a:graphicData uri="http://schemas.openxmlformats.org/drawingml/2006/picture">
                <pic:pic>
                  <pic:nvPicPr>
                    <pic:cNvPr descr="database_detectives_student_guide_files/figure-docx//1fy3FwkSLETnRUdf8huddq2n4qcb6eOyzwVg05dbudII_g35e6d9f15b7_13_51.png" id="72" name="Picture"/>
                    <pic:cNvPicPr>
                      <a:picLocks noChangeArrowheads="1" noChangeAspect="1"/>
                    </pic:cNvPicPr>
                  </pic:nvPicPr>
                  <pic:blipFill>
                    <a:blip r:embed="rId7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we can turn to the human homolog</w:t>
      </w:r>
      <w:r>
        <w:t xml:space="preserve"> </w:t>
      </w:r>
      <w:r>
        <w:rPr>
          <w:b/>
          <w:bCs/>
        </w:rPr>
        <w:t xml:space="preserve">UST</w:t>
      </w:r>
      <w:r>
        <w:t xml:space="preserve">. There are several databases with information about human genes.</w:t>
      </w:r>
      <w:r>
        <w:t xml:space="preserve"> </w:t>
      </w:r>
      <w:hyperlink r:id="rId73">
        <w:r>
          <w:rPr>
            <w:rStyle w:val="Hyperlink"/>
            <w:i/>
            <w:iCs/>
          </w:rPr>
          <w:t xml:space="preserve">GeneCards</w:t>
        </w:r>
      </w:hyperlink>
      <w:r>
        <w:t xml:space="preserve"> </w:t>
      </w:r>
      <w:r>
        <w:t xml:space="preserve">is a user-friendly database that collects and displays information about human genes from multiple research databases. It is maintained as a joint effort between the Weizmann Institute of Science and LifeMap Sciences</w:t>
      </w:r>
      <w:r>
        <w:t xml:space="preserve"> </w:t>
      </w:r>
      <w:r>
        <w:t xml:space="preserve">[4]</w:t>
      </w:r>
      <w:r>
        <w:t xml:space="preserve">.</w:t>
      </w:r>
    </w:p>
    <w:p>
      <w:pPr>
        <w:pStyle w:val="BodyText"/>
      </w:pPr>
      <w:r>
        <w:t xml:space="preserve">Open the GeneCards page and search for the human homolog</w:t>
      </w:r>
      <w:r>
        <w:t xml:space="preserve"> </w:t>
      </w:r>
      <w:r>
        <w:rPr>
          <w:b/>
          <w:bCs/>
        </w:rPr>
        <w:t xml:space="preserve">UST</w:t>
      </w:r>
      <w:r>
        <w:t xml:space="preserve"> </w:t>
      </w:r>
      <w:r>
        <w:t xml:space="preserve">in the</w:t>
      </w:r>
      <w:r>
        <w:t xml:space="preserve"> </w:t>
      </w:r>
      <w:r>
        <w:t xml:space="preserve">“</w:t>
      </w:r>
      <w:r>
        <w:t xml:space="preserve">Explore a Gene</w:t>
      </w:r>
      <w:r>
        <w:t xml:space="preserve">”</w:t>
      </w:r>
      <w:r>
        <w:t xml:space="preserve"> </w:t>
      </w:r>
      <w:r>
        <w:t xml:space="preserve">search bar.</w:t>
      </w:r>
    </w:p>
    <w:p>
      <w:pPr>
        <w:pStyle w:val="BodyText"/>
      </w:pPr>
      <w:r>
        <w:drawing>
          <wp:inline>
            <wp:extent cx="4800600" cy="2700337"/>
            <wp:effectExtent b="0" l="0" r="0" t="0"/>
            <wp:docPr descr="" title="" id="75" name="Picture"/>
            <a:graphic>
              <a:graphicData uri="http://schemas.openxmlformats.org/drawingml/2006/picture">
                <pic:pic>
                  <pic:nvPicPr>
                    <pic:cNvPr descr="database_detectives_student_guide_files/figure-docx//1fy3FwkSLETnRUdf8huddq2n4qcb6eOyzwVg05dbudII_g35e6d9f15b7_13_22.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Unlike MGI or ZFIN, the GeneCards page on our searched gene doesn’t have the information about location at the top. Instead, we will need to click on</w:t>
      </w:r>
      <w:r>
        <w:t xml:space="preserve"> </w:t>
      </w:r>
      <w:r>
        <w:t xml:space="preserve">“</w:t>
      </w:r>
      <w:r>
        <w:t xml:space="preserve">Genomics</w:t>
      </w:r>
      <w:r>
        <w:t xml:space="preserve">”</w:t>
      </w:r>
      <w:r>
        <w:t xml:space="preserve"> </w:t>
      </w:r>
      <w:r>
        <w:t xml:space="preserve">in the header menu.</w:t>
      </w:r>
    </w:p>
    <w:p>
      <w:pPr>
        <w:pStyle w:val="BodyText"/>
      </w:pPr>
      <w:r>
        <w:drawing>
          <wp:inline>
            <wp:extent cx="4800600" cy="2700337"/>
            <wp:effectExtent b="0" l="0" r="0" t="0"/>
            <wp:docPr descr="" title="" id="78" name="Picture"/>
            <a:graphic>
              <a:graphicData uri="http://schemas.openxmlformats.org/drawingml/2006/picture">
                <pic:pic>
                  <pic:nvPicPr>
                    <pic:cNvPr descr="database_detectives_student_guide_files/figure-docx//1fy3FwkSLETnRUdf8huddq2n4qcb6eOyzwVg05dbudII_g35e6d9f15b7_13_64.png" id="79" name="Picture"/>
                    <pic:cNvPicPr>
                      <a:picLocks noChangeArrowheads="1" noChangeAspect="1"/>
                    </pic:cNvPicPr>
                  </pic:nvPicPr>
                  <pic:blipFill>
                    <a:blip r:embed="rId77"/>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genomics section of the GeneCards page includes location information for multiple assemblies, as well as a map of the chromosome.</w:t>
      </w:r>
      <w:r>
        <w:t xml:space="preserve"> </w:t>
      </w:r>
      <w:r>
        <w:rPr>
          <w:b/>
          <w:bCs/>
        </w:rPr>
        <w:t xml:space="preserve">UST</w:t>
      </w:r>
      <w:r>
        <w:t xml:space="preserve"> </w:t>
      </w:r>
      <w:r>
        <w:t xml:space="preserve">is located on chromosome 6.</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note.png" id="81"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A genome assembly is just a version of the genome map. As scientists unlock more detail about genomes, they periodically publish an updated</w:t>
            </w:r>
            <w:r>
              <w:t xml:space="preserve"> </w:t>
            </w:r>
            <w:r>
              <w:t xml:space="preserve">“</w:t>
            </w:r>
            <w:r>
              <w:t xml:space="preserve">reference genome</w:t>
            </w:r>
            <w:r>
              <w:t xml:space="preserve">”</w:t>
            </w:r>
            <w:r>
              <w:t xml:space="preserve">, with everything we have discovered about where genes, enhancers, promotors, and non-coding regions are located in the genome. Think of an updated genome assembly as a better map.</w:t>
            </w:r>
          </w:p>
        </w:tc>
      </w:tr>
    </w:tbl>
    <w:p>
      <w:pPr>
        <w:pStyle w:val="BodyText"/>
      </w:pPr>
      <w:r>
        <w:drawing>
          <wp:inline>
            <wp:extent cx="4800600" cy="2700337"/>
            <wp:effectExtent b="0" l="0" r="0" t="0"/>
            <wp:docPr descr="" title="" id="83" name="Picture"/>
            <a:graphic>
              <a:graphicData uri="http://schemas.openxmlformats.org/drawingml/2006/picture">
                <pic:pic>
                  <pic:nvPicPr>
                    <pic:cNvPr descr="database_detectives_student_guide_files/figure-docx//1fy3FwkSLETnRUdf8huddq2n4qcb6eOyzwVg05dbudII_g35e6d9f15b7_13_73.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We can also find information about</w:t>
      </w:r>
      <w:r>
        <w:t xml:space="preserve"> </w:t>
      </w:r>
      <w:r>
        <w:rPr>
          <w:b/>
          <w:bCs/>
        </w:rPr>
        <w:t xml:space="preserve">UST’s</w:t>
      </w:r>
      <w:r>
        <w:t xml:space="preserve"> </w:t>
      </w:r>
      <w:r>
        <w:t xml:space="preserve">molecular function. Choosing</w:t>
      </w:r>
      <w:r>
        <w:t xml:space="preserve"> </w:t>
      </w:r>
      <w:r>
        <w:t xml:space="preserve">“</w:t>
      </w:r>
      <w:r>
        <w:t xml:space="preserve">Function</w:t>
      </w:r>
      <w:r>
        <w:t xml:space="preserve">”</w:t>
      </w:r>
      <w:r>
        <w:t xml:space="preserve"> </w:t>
      </w:r>
      <w:r>
        <w:t xml:space="preserve">from the menu takes us to a list of gene ontology terms (commonly called GO terms) associated with</w:t>
      </w:r>
      <w:r>
        <w:t xml:space="preserve"> </w:t>
      </w:r>
      <w:r>
        <w:rPr>
          <w:b/>
          <w:bCs/>
        </w:rPr>
        <w:t xml:space="preserve">UST</w:t>
      </w:r>
      <w:r>
        <w:t xml:space="preserve">. There are a lot of words you might recognize, including sulfotransferase activity.</w:t>
      </w:r>
    </w:p>
    <w:p>
      <w:pPr>
        <w:pStyle w:val="BodyText"/>
      </w:pPr>
      <w:r>
        <w:drawing>
          <wp:inline>
            <wp:extent cx="4800600" cy="2700337"/>
            <wp:effectExtent b="0" l="0" r="0" t="0"/>
            <wp:docPr descr="" title="" id="86" name="Picture"/>
            <a:graphic>
              <a:graphicData uri="http://schemas.openxmlformats.org/drawingml/2006/picture">
                <pic:pic>
                  <pic:nvPicPr>
                    <pic:cNvPr descr="database_detectives_student_guide_files/figure-docx//1fy3FwkSLETnRUdf8huddq2n4qcb6eOyzwVg05dbudII_g35e6d9f15b7_13_27.png" id="87" name="Picture"/>
                    <pic:cNvPicPr>
                      <a:picLocks noChangeArrowheads="1" noChangeAspect="1"/>
                    </pic:cNvPicPr>
                  </pic:nvPicPr>
                  <pic:blipFill>
                    <a:blip r:embed="rId8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find the following information for the</w:t>
            </w:r>
            <w:r>
              <w:t xml:space="preserve"> </w:t>
            </w:r>
            <w:r>
              <w:rPr>
                <w:i/>
                <w:iCs/>
              </w:rPr>
              <w:t xml:space="preserve">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FirstParagraph"/>
            </w:pPr>
            <w:pPr>
              <w:spacing w:after="16"/>
            </w:pPr>
            <w:r>
              <w:t xml:space="preserve">Does this information differ among the homologs? For example, do the homologs of</w:t>
            </w:r>
            <w:r>
              <w:t xml:space="preserve"> </w:t>
            </w:r>
            <w:r>
              <w:rPr>
                <w:b/>
                <w:bCs/>
              </w:rPr>
              <w:t xml:space="preserve">scarlet</w:t>
            </w:r>
            <w:r>
              <w:t xml:space="preserve"> </w:t>
            </w:r>
            <w:r>
              <w:t xml:space="preserve">do the same things as</w:t>
            </w:r>
            <w:r>
              <w:t xml:space="preserve"> </w:t>
            </w:r>
            <w:r>
              <w:rPr>
                <w:b/>
                <w:bCs/>
              </w:rPr>
              <w:t xml:space="preserve">scarlet</w:t>
            </w:r>
            <w:r>
              <w:t xml:space="preserve">?</w:t>
            </w:r>
          </w:p>
        </w:tc>
      </w:tr>
    </w:tbl>
    <w:bookmarkEnd w:id="90"/>
    <w:bookmarkStart w:id="116"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91">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92">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91">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w:t>
      </w:r>
      <w:r>
        <w:t xml:space="preserve"> </w:t>
      </w:r>
      <w:r>
        <w:rPr>
          <w:b/>
          <w:bCs/>
        </w:rPr>
        <w:t xml:space="preserve">pipe</w:t>
      </w:r>
      <w:r>
        <w:t xml:space="preserve"> </w:t>
      </w:r>
      <w:r>
        <w:t xml:space="preserve">is</w:t>
      </w:r>
      <w:r>
        <w:t xml:space="preserve"> </w:t>
      </w:r>
      <w:r>
        <w:rPr>
          <w:b/>
          <w:bCs/>
        </w:rPr>
        <w:t xml:space="preserve">UST</w:t>
      </w:r>
      <w:r>
        <w:t xml:space="preserve">. Let’s look this gene up and see what (if any) diseases it might be associated with.</w:t>
      </w:r>
    </w:p>
    <w:p>
      <w:pPr>
        <w:pStyle w:val="BodyText"/>
      </w:pPr>
      <w:r>
        <w:drawing>
          <wp:inline>
            <wp:extent cx="4800600" cy="2700337"/>
            <wp:effectExtent b="0" l="0" r="0" t="0"/>
            <wp:docPr descr="" title="" id="94" name="Picture"/>
            <a:graphic>
              <a:graphicData uri="http://schemas.openxmlformats.org/drawingml/2006/picture">
                <pic:pic>
                  <pic:nvPicPr>
                    <pic:cNvPr descr="database_detectives_student_guide_files/figure-docx//1fy3FwkSLETnRUdf8huddq2n4qcb6eOyzwVg05dbudII_g35f41619954_0_23.png" id="95" name="Picture"/>
                    <pic:cNvPicPr>
                      <a:picLocks noChangeArrowheads="1" noChangeAspect="1"/>
                    </pic:cNvPicPr>
                  </pic:nvPicPr>
                  <pic:blipFill>
                    <a:blip r:embed="rId9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w:t>
      </w:r>
      <w:r>
        <w:t xml:space="preserve"> </w:t>
      </w:r>
      <w:r>
        <w:rPr>
          <w:b/>
          <w:bCs/>
        </w:rPr>
        <w:t xml:space="preserve">UST</w:t>
      </w:r>
      <w:r>
        <w:t xml:space="preserve">, there’s only one. Click on it.</w:t>
      </w:r>
    </w:p>
    <w:p>
      <w:pPr>
        <w:pStyle w:val="BodyText"/>
      </w:pPr>
      <w:r>
        <w:drawing>
          <wp:inline>
            <wp:extent cx="4800600" cy="2700337"/>
            <wp:effectExtent b="0" l="0" r="0" t="0"/>
            <wp:docPr descr="" title="" id="97" name="Picture"/>
            <a:graphic>
              <a:graphicData uri="http://schemas.openxmlformats.org/drawingml/2006/picture">
                <pic:pic>
                  <pic:nvPicPr>
                    <pic:cNvPr descr="database_detectives_student_guide_files/figure-docx//1fy3FwkSLETnRUdf8huddq2n4qcb6eOyzwVg05dbudII_g35f41619954_0_36.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w:t>
      </w:r>
      <w:r>
        <w:t xml:space="preserve"> </w:t>
      </w:r>
      <w:r>
        <w:rPr>
          <w:b/>
          <w:bCs/>
        </w:rPr>
        <w:t xml:space="preserve">UST</w:t>
      </w:r>
      <w:r>
        <w:t xml:space="preserve">, there’s not much there. In fact, there doesn’t seem to be any subsection focusing on disease state or phenotype.</w:t>
      </w:r>
    </w:p>
    <w:p>
      <w:pPr>
        <w:pStyle w:val="BodyText"/>
      </w:pPr>
      <w:r>
        <w:drawing>
          <wp:inline>
            <wp:extent cx="4800600" cy="2700337"/>
            <wp:effectExtent b="0" l="0" r="0" t="0"/>
            <wp:docPr descr="" title="" id="100" name="Picture"/>
            <a:graphic>
              <a:graphicData uri="http://schemas.openxmlformats.org/drawingml/2006/picture">
                <pic:pic>
                  <pic:nvPicPr>
                    <pic:cNvPr descr="database_detectives_student_guide_files/figure-docx//1fy3FwkSLETnRUdf8huddq2n4qcb6eOyzwVg05dbudII_g35f41619954_0_51.png" id="101" name="Picture"/>
                    <pic:cNvPicPr>
                      <a:picLocks noChangeArrowheads="1" noChangeAspect="1"/>
                    </pic:cNvPicPr>
                  </pic:nvPicPr>
                  <pic:blipFill>
                    <a:blip r:embed="rId9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w:t>
      </w:r>
      <w:r>
        <w:t xml:space="preserve"> </w:t>
      </w:r>
      <w:r>
        <w:rPr>
          <w:b/>
          <w:bCs/>
        </w:rPr>
        <w:t xml:space="preserve">BRCA1</w:t>
      </w:r>
      <w:r>
        <w:t xml:space="preserve">, which is associated with an increased risk of breast and ovarian cancer. When we look at the top OMIM hit for</w:t>
      </w:r>
      <w:r>
        <w:t xml:space="preserve"> </w:t>
      </w:r>
      <w:r>
        <w:rPr>
          <w:b/>
          <w:bCs/>
        </w:rPr>
        <w:t xml:space="preserve">BRCA1</w:t>
      </w:r>
      <w:r>
        <w:t xml:space="preserve">,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w:t>
      </w:r>
      <w:r>
        <w:t xml:space="preserve"> </w:t>
      </w:r>
      <w:r>
        <w:rPr>
          <w:b/>
          <w:bCs/>
        </w:rPr>
        <w:t xml:space="preserve">UST</w:t>
      </w:r>
      <w:r>
        <w:t xml:space="preserve">, we can conclude that</w:t>
      </w:r>
      <w:r>
        <w:t xml:space="preserve"> </w:t>
      </w:r>
      <w:r>
        <w:rPr>
          <w:b/>
          <w:bCs/>
        </w:rPr>
        <w:t xml:space="preserve">UST</w:t>
      </w:r>
      <w:r>
        <w:t xml:space="preserve"> </w:t>
      </w:r>
      <w:r>
        <w:t xml:space="preserve">doesn’t appear to cause any human diseases that we know of at this time.</w:t>
      </w:r>
    </w:p>
    <w:p>
      <w:pPr>
        <w:pStyle w:val="BodyText"/>
      </w:pPr>
      <w:r>
        <w:drawing>
          <wp:inline>
            <wp:extent cx="4800600" cy="2700337"/>
            <wp:effectExtent b="0" l="0" r="0" t="0"/>
            <wp:docPr descr="" title="" id="103" name="Picture"/>
            <a:graphic>
              <a:graphicData uri="http://schemas.openxmlformats.org/drawingml/2006/picture">
                <pic:pic>
                  <pic:nvPicPr>
                    <pic:cNvPr descr="database_detectives_student_guide_files/figure-docx//1fy3FwkSLETnRUdf8huddq2n4qcb6eOyzwVg05dbudII_g3367b17b963_0_3.png" id="104" name="Picture"/>
                    <pic:cNvPicPr>
                      <a:picLocks noChangeArrowheads="1" noChangeAspect="1"/>
                    </pic:cNvPicPr>
                  </pic:nvPicPr>
                  <pic:blipFill>
                    <a:blip r:embed="rId10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92">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w:t>
      </w:r>
      <w:r>
        <w:t xml:space="preserve"> </w:t>
      </w:r>
      <w:r>
        <w:t xml:space="preserve">“</w:t>
      </w:r>
      <w:r>
        <w:t xml:space="preserve">UST</w:t>
      </w:r>
      <w:r>
        <w:t xml:space="preserve">”</w:t>
      </w:r>
      <w:r>
        <w:t xml:space="preserve"> </w:t>
      </w:r>
      <w:r>
        <w:t xml:space="preserve">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106" name="Picture"/>
            <a:graphic>
              <a:graphicData uri="http://schemas.openxmlformats.org/drawingml/2006/picture">
                <pic:pic>
                  <pic:nvPicPr>
                    <pic:cNvPr descr="database_detectives_student_guide_files/figure-docx//1fy3FwkSLETnRUdf8huddq2n4qcb6eOyzwVg05dbudII_g35f41619954_0_55.png" id="107" name="Picture"/>
                    <pic:cNvPicPr>
                      <a:picLocks noChangeArrowheads="1" noChangeAspect="1"/>
                    </pic:cNvPicPr>
                  </pic:nvPicPr>
                  <pic:blipFill>
                    <a:blip r:embed="rId10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109" name="Picture"/>
            <a:graphic>
              <a:graphicData uri="http://schemas.openxmlformats.org/drawingml/2006/picture">
                <pic:pic>
                  <pic:nvPicPr>
                    <pic:cNvPr descr="database_detectives_student_guide_files/figure-docx//1fy3FwkSLETnRUdf8huddq2n4qcb6eOyzwVg05dbudII_g35f41619954_0_59.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w:t>
      </w:r>
      <w:r>
        <w:t xml:space="preserve"> </w:t>
      </w:r>
      <w:r>
        <w:rPr>
          <w:b/>
          <w:bCs/>
        </w:rPr>
        <w:t xml:space="preserve">UST</w:t>
      </w:r>
      <w:r>
        <w:t xml:space="preserve"> </w:t>
      </w:r>
      <w:r>
        <w:t xml:space="preserve">is not found in any of the MalaCards disease entry.</w:t>
      </w:r>
    </w:p>
    <w:p>
      <w:pPr>
        <w:pStyle w:val="BodyText"/>
      </w:pPr>
      <w:r>
        <w:t xml:space="preserve">Let’s search MalaCards with the term</w:t>
      </w:r>
      <w:r>
        <w:t xml:space="preserve"> </w:t>
      </w:r>
      <w:r>
        <w:t xml:space="preserve">“</w:t>
      </w:r>
      <w:r>
        <w:t xml:space="preserve">BRCA1</w:t>
      </w:r>
      <w:r>
        <w:t xml:space="preserve">”</w:t>
      </w:r>
      <w:r>
        <w:t xml:space="preserve"> </w:t>
      </w:r>
      <w:r>
        <w:t xml:space="preserve">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w:t>
      </w:r>
      <w:r>
        <w:t xml:space="preserve"> </w:t>
      </w:r>
      <w:r>
        <w:rPr>
          <w:b/>
          <w:bCs/>
        </w:rPr>
        <w:t xml:space="preserve">BRCA1</w:t>
      </w:r>
      <w:r>
        <w:t xml:space="preserve"> </w:t>
      </w:r>
      <w:r>
        <w:t xml:space="preserve">shows up in the overview, as well as in the section about associated genes and the alternate name for the disease.</w:t>
      </w:r>
    </w:p>
    <w:p>
      <w:pPr>
        <w:pStyle w:val="BodyText"/>
      </w:pPr>
      <w:r>
        <w:drawing>
          <wp:inline>
            <wp:extent cx="4800600" cy="2700337"/>
            <wp:effectExtent b="0" l="0" r="0" t="0"/>
            <wp:docPr descr="" title="" id="112" name="Picture"/>
            <a:graphic>
              <a:graphicData uri="http://schemas.openxmlformats.org/drawingml/2006/picture">
                <pic:pic>
                  <pic:nvPicPr>
                    <pic:cNvPr descr="database_detectives_student_guide_files/figure-docx//1fy3FwkSLETnRUdf8huddq2n4qcb6eOyzwVg05dbudII_g3367b17b963_0_13.png" id="113" name="Picture"/>
                    <pic:cNvPicPr>
                      <a:picLocks noChangeArrowheads="1" noChangeAspect="1"/>
                    </pic:cNvPicPr>
                  </pic:nvPicPr>
                  <pic:blipFill>
                    <a:blip r:embed="rId11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(if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4" name="Picture"/>
                  <a:graphic>
                    <a:graphicData uri="http://schemas.openxmlformats.org/drawingml/2006/picture">
                      <pic:pic>
                        <pic:nvPicPr>
                          <pic:cNvPr descr="/opt/quarto/share/formats/docx/note.png" id="11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 </w:t>
            </w:r>
            <w:r>
              <w:t xml:space="preserve">associated with?</w:t>
            </w:r>
          </w:p>
        </w:tc>
      </w:tr>
    </w:tbl>
    <w:bookmarkEnd w:id="116"/>
    <w:bookmarkStart w:id="128"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rPr>
          <w:b/>
          <w:bCs/>
        </w:rPr>
        <w:t xml:space="preserve">Experiment 1</w:t>
      </w:r>
      <w:r>
        <w:t xml:space="preserve">: the data seems to be from the 3R chromosome in</w:t>
      </w:r>
      <w:r>
        <w:t xml:space="preserve"> </w:t>
      </w:r>
      <w:r>
        <w:rPr>
          <w:i/>
          <w:iCs/>
        </w:rPr>
        <w:t xml:space="preserve">Drosophila</w:t>
      </w:r>
      <w:r>
        <w:t xml:space="preserve"> </w:t>
      </w:r>
      <w:r>
        <w:t xml:space="preserve">and measures whether motor neurons are being pruned at the same rate in the experimental group (versus the control group)</w:t>
      </w:r>
    </w:p>
    <w:p>
      <w:pPr>
        <w:pStyle w:val="BodyText"/>
      </w:pPr>
      <w:r>
        <w:rPr>
          <w:b/>
          <w:bCs/>
        </w:rPr>
        <w:t xml:space="preserve">Experiment 2</w:t>
      </w:r>
      <w:r>
        <w:t xml:space="preserve">: this data includes measurements on transmembrane transport in the zebrafish, specifically in intestinal cells</w:t>
      </w:r>
    </w:p>
    <w:p>
      <w:pPr>
        <w:pStyle w:val="BodyText"/>
      </w:pPr>
      <w:r>
        <w:rPr>
          <w:b/>
          <w:bCs/>
        </w:rPr>
        <w:t xml:space="preserve">Experiment 3</w:t>
      </w:r>
      <w:r>
        <w:t xml:space="preserve">: this data looks at mouse cells in culture and tracks the damage caused by exposure to reactive oxygen species (ROS) and oxidative stress</w:t>
      </w:r>
    </w:p>
    <w:p>
      <w:pPr>
        <w:pStyle w:val="BodyText"/>
      </w:pPr>
      <w:r>
        <w:rPr>
          <w:b/>
          <w:bCs/>
        </w:rPr>
        <w:t xml:space="preserve">Experiment 4</w:t>
      </w:r>
      <w:r>
        <w:t xml:space="preserve">: this data includes sequences from the</w:t>
      </w:r>
      <w:r>
        <w:t xml:space="preserve"> </w:t>
      </w:r>
      <w:r>
        <w:rPr>
          <w:i/>
          <w:iCs/>
        </w:rPr>
        <w:t xml:space="preserve">Drosophila</w:t>
      </w:r>
      <w:r>
        <w:t xml:space="preserve"> </w:t>
      </w:r>
      <w:r>
        <w:t xml:space="preserve">X chromosome and appears to be a genome annotation project</w:t>
      </w:r>
    </w:p>
    <w:p>
      <w:pPr>
        <w:pStyle w:val="BodyText"/>
      </w:pPr>
      <w:r>
        <w:t xml:space="preserve">There is also extensive background research about cerebellar atrophy, gallbladder disease, and hyperuricemia (high uric acid concentration in the urine). You also find some initial research looking at neuronal cell adhesion.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7" name="Picture"/>
                  <a:graphic>
                    <a:graphicData uri="http://schemas.openxmlformats.org/drawingml/2006/picture">
                      <pic:pic>
                        <pic:nvPicPr>
                          <pic:cNvPr descr="/opt/quarto/share/formats/docx/note.png" id="118"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FOUR</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Start w:id="127" w:name="refs"/>
    <w:bookmarkStart w:id="120" w:name="ref-ozturk2024"/>
    <w:p>
      <w:pPr>
        <w:pStyle w:val="Bibliography"/>
      </w:pPr>
      <w:r>
        <w:t xml:space="preserve">[1]</w:t>
      </w:r>
      <w:r>
        <w:t xml:space="preserve"> </w:t>
      </w:r>
      <w:r>
        <w:t xml:space="preserve">	</w:t>
      </w:r>
      <w:r>
        <w:t xml:space="preserve">A. Öztürk-Çolak</w:t>
      </w:r>
      <w:r>
        <w:t xml:space="preserve"> </w:t>
      </w:r>
      <w:r>
        <w:rPr>
          <w:i/>
          <w:iCs/>
        </w:rPr>
        <w:t xml:space="preserve">et al.</w:t>
      </w:r>
      <w:r>
        <w:t xml:space="preserve">,</w:t>
      </w:r>
      <w:r>
        <w:t xml:space="preserve"> </w:t>
      </w:r>
      <w:r>
        <w:t xml:space="preserve">“FlyBase: Updates to the drosophila genes and genomes database,”</w:t>
      </w:r>
      <w:r>
        <w:t xml:space="preserve"> </w:t>
      </w:r>
      <w:r>
        <w:rPr>
          <w:i/>
          <w:iCs/>
        </w:rPr>
        <w:t xml:space="preserve">Genetics</w:t>
      </w:r>
      <w:r>
        <w:t xml:space="preserve">, vol. 227, no. 1, Feb. 2024, Available:</w:t>
      </w:r>
      <w:r>
        <w:t xml:space="preserve"> </w:t>
      </w:r>
      <w:hyperlink r:id="rId119">
        <w:r>
          <w:rPr>
            <w:rStyle w:val="Hyperlink"/>
          </w:rPr>
          <w:t xml:space="preserve">https://doi.org/10.1093/genetics/iyad211</w:t>
        </w:r>
      </w:hyperlink>
    </w:p>
    <w:bookmarkEnd w:id="120"/>
    <w:bookmarkStart w:id="122" w:name="ref-baldarelli2024"/>
    <w:p>
      <w:pPr>
        <w:pStyle w:val="Bibliography"/>
      </w:pPr>
      <w:r>
        <w:t xml:space="preserve">[2]</w:t>
      </w:r>
      <w:r>
        <w:t xml:space="preserve"> </w:t>
      </w:r>
      <w:r>
        <w:t xml:space="preserve">	</w:t>
      </w:r>
      <w:r>
        <w:t xml:space="preserve">R. M. Baldarelli, C. L. Smith, M. Ringwald, J. E. Richardson, C. J. Bult, and M. G. I. Group,</w:t>
      </w:r>
      <w:r>
        <w:t xml:space="preserve"> </w:t>
      </w:r>
      <w:r>
        <w:t xml:space="preserve">“Mouse genome informatics: An integrated knowledgebase system for the laboratory mouse,”</w:t>
      </w:r>
      <w:r>
        <w:t xml:space="preserve"> </w:t>
      </w:r>
      <w:r>
        <w:rPr>
          <w:i/>
          <w:iCs/>
        </w:rPr>
        <w:t xml:space="preserve">Genetics</w:t>
      </w:r>
      <w:r>
        <w:t xml:space="preserve">, vol. 227, no. 1, Mar. 2024, Available:</w:t>
      </w:r>
      <w:r>
        <w:t xml:space="preserve"> </w:t>
      </w:r>
      <w:hyperlink r:id="rId121">
        <w:r>
          <w:rPr>
            <w:rStyle w:val="Hyperlink"/>
          </w:rPr>
          <w:t xml:space="preserve">https://doi.org/10.1093/genetics/iyae031</w:t>
        </w:r>
      </w:hyperlink>
    </w:p>
    <w:bookmarkEnd w:id="122"/>
    <w:bookmarkStart w:id="124" w:name="ref-bradford2022"/>
    <w:p>
      <w:pPr>
        <w:pStyle w:val="Bibliography"/>
      </w:pPr>
      <w:r>
        <w:t xml:space="preserve">[3]</w:t>
      </w:r>
      <w:r>
        <w:t xml:space="preserve"> </w:t>
      </w:r>
      <w:r>
        <w:t xml:space="preserve">	</w:t>
      </w:r>
      <w:r>
        <w:t xml:space="preserve">Y. M. Bradford</w:t>
      </w:r>
      <w:r>
        <w:t xml:space="preserve"> </w:t>
      </w:r>
      <w:r>
        <w:rPr>
          <w:i/>
          <w:iCs/>
        </w:rPr>
        <w:t xml:space="preserve">et al.</w:t>
      </w:r>
      <w:r>
        <w:t xml:space="preserve">,</w:t>
      </w:r>
      <w:r>
        <w:t xml:space="preserve"> </w:t>
      </w:r>
      <w:r>
        <w:t xml:space="preserve">“Zebrafish information network, the knowledgebase for danio rerio research,”</w:t>
      </w:r>
      <w:r>
        <w:t xml:space="preserve"> </w:t>
      </w:r>
      <w:r>
        <w:rPr>
          <w:i/>
          <w:iCs/>
        </w:rPr>
        <w:t xml:space="preserve">Genetics</w:t>
      </w:r>
      <w:r>
        <w:t xml:space="preserve">, vol. 220, no. 4, Feb. 2022, Available:</w:t>
      </w:r>
      <w:r>
        <w:t xml:space="preserve"> </w:t>
      </w:r>
      <w:hyperlink r:id="rId123">
        <w:r>
          <w:rPr>
            <w:rStyle w:val="Hyperlink"/>
          </w:rPr>
          <w:t xml:space="preserve">https://doi.org/10.1093/genetics/iyac016</w:t>
        </w:r>
      </w:hyperlink>
    </w:p>
    <w:bookmarkEnd w:id="124"/>
    <w:bookmarkStart w:id="126" w:name="ref-stelzer2016"/>
    <w:p>
      <w:pPr>
        <w:pStyle w:val="Bibliography"/>
      </w:pPr>
      <w:r>
        <w:t xml:space="preserve">[4]</w:t>
      </w:r>
      <w:r>
        <w:t xml:space="preserve"> </w:t>
      </w:r>
      <w:r>
        <w:t xml:space="preserve">	</w:t>
      </w:r>
      <w:r>
        <w:t xml:space="preserve">G. Stelzer</w:t>
      </w:r>
      <w:r>
        <w:t xml:space="preserve"> </w:t>
      </w:r>
      <w:r>
        <w:rPr>
          <w:i/>
          <w:iCs/>
        </w:rPr>
        <w:t xml:space="preserve">et al.</w:t>
      </w:r>
      <w:r>
        <w:t xml:space="preserve">,</w:t>
      </w:r>
      <w:r>
        <w:t xml:space="preserve"> </w:t>
      </w:r>
      <w:r>
        <w:t xml:space="preserve">“The GeneCards suite: From gene data mining to disease genome sequence analyses,”</w:t>
      </w:r>
      <w:r>
        <w:t xml:space="preserve"> </w:t>
      </w:r>
      <w:r>
        <w:rPr>
          <w:i/>
          <w:iCs/>
        </w:rPr>
        <w:t xml:space="preserve">Current Protocols in Bioinformatics</w:t>
      </w:r>
      <w:r>
        <w:t xml:space="preserve">, vol. 54, no. 1, pp. 1.30.1–1.30.33, 2016, Available:</w:t>
      </w:r>
      <w:r>
        <w:t xml:space="preserve"> </w:t>
      </w:r>
      <w:hyperlink r:id="rId125">
        <w:r>
          <w:rPr>
            <w:rStyle w:val="Hyperlink"/>
          </w:rPr>
          <w:t xml:space="preserve">https://currentprotocols.onlinelibrary.wiley.com/doi/abs/10.1002/cpbi.5</w:t>
        </w:r>
      </w:hyperlink>
    </w:p>
    <w:bookmarkEnd w:id="126"/>
    <w:bookmarkEnd w:id="127"/>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111" Target="media/rId111.png" /><Relationship Type="http://schemas.openxmlformats.org/officeDocument/2006/relationships/image" Id="rId102" Target="media/rId102.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64" Target="media/rId64.png" /><Relationship Type="http://schemas.openxmlformats.org/officeDocument/2006/relationships/image" Id="rId74" Target="media/rId74.png" /><Relationship Type="http://schemas.openxmlformats.org/officeDocument/2006/relationships/image" Id="rId85" Target="media/rId8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70" Target="media/rId70.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67" Target="media/rId67.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108" Target="media/rId108.png" /><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125" Target="https://currentprotocols.onlinelibrary.wiley.com/doi/abs/10.1002/cpbi.5" TargetMode="External" /><Relationship Type="http://schemas.openxmlformats.org/officeDocument/2006/relationships/hyperlink" Id="rId123" Target="https://doi.org/10.1093/genetics/iyac016" TargetMode="External" /><Relationship Type="http://schemas.openxmlformats.org/officeDocument/2006/relationships/hyperlink" Id="rId119" Target="https://doi.org/10.1093/genetics/iyad211" TargetMode="External" /><Relationship Type="http://schemas.openxmlformats.org/officeDocument/2006/relationships/hyperlink" Id="rId121" Target="https://doi.org/10.1093/genetics/iyae031" TargetMode="External" /><Relationship Type="http://schemas.openxmlformats.org/officeDocument/2006/relationships/hyperlink" Id="rId22" Target="https://flybase.org/" TargetMode="External" /><Relationship Type="http://schemas.openxmlformats.org/officeDocument/2006/relationships/hyperlink" Id="rId44" Target="https://informatics.jax.org/" TargetMode="External" /><Relationship Type="http://schemas.openxmlformats.org/officeDocument/2006/relationships/hyperlink" Id="rId91" Target="https://omim.org/" TargetMode="External" /><Relationship Type="http://schemas.openxmlformats.org/officeDocument/2006/relationships/hyperlink" Id="rId73" Target="https://www.genecards.org/" TargetMode="External" /><Relationship Type="http://schemas.openxmlformats.org/officeDocument/2006/relationships/hyperlink" Id="rId92" Target="https://www.malacards.org/" TargetMode="External" /><Relationship Type="http://schemas.openxmlformats.org/officeDocument/2006/relationships/hyperlink" Id="rId61"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Detectives: Exploring Public Genomic Databases Student Guide</dc:title>
  <dc:creator/>
  <cp:keywords/>
  <dcterms:created xsi:type="dcterms:W3CDTF">2025-07-09T13:58:21Z</dcterms:created>
  <dcterms:modified xsi:type="dcterms:W3CDTF">2025-07-09T13:58:21Z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