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Family</w:t>
      </w:r>
      <w:r>
        <w:t xml:space="preserve"> </w:t>
      </w:r>
      <w:r>
        <w:t xml:space="preserve">Markers:</w:t>
      </w:r>
      <w:r>
        <w:t xml:space="preserve"> </w:t>
      </w:r>
      <w:r>
        <w:t xml:space="preserve">Using</w:t>
      </w:r>
      <w:r>
        <w:t xml:space="preserve"> </w:t>
      </w:r>
      <w:r>
        <w:t xml:space="preserve">Multiply-Affected</w:t>
      </w:r>
      <w:r>
        <w:t xml:space="preserve"> </w:t>
      </w:r>
      <w:r>
        <w:t xml:space="preserve">Families</w:t>
      </w:r>
      <w:r>
        <w:t xml:space="preserve"> </w:t>
      </w:r>
      <w:r>
        <w:t xml:space="preserve">to</w:t>
      </w:r>
      <w:r>
        <w:t xml:space="preserve"> </w:t>
      </w:r>
      <w:r>
        <w:t xml:space="preserve">Identify</w:t>
      </w:r>
      <w:r>
        <w:t xml:space="preserve"> </w:t>
      </w:r>
      <w:r>
        <w:t xml:space="preserve">Risk</w:t>
      </w:r>
      <w:r>
        <w:t xml:space="preserve"> </w:t>
      </w:r>
      <w: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 </w:t>
      </w:r>
      <w:r>
        <w:t xml:space="preserve">[1]</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4"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Start w:id="113" w:name="refs"/>
    <w:bookmarkStart w:id="112" w:name="ref-hasin2022"/>
    <w:p>
      <w:pPr>
        <w:pStyle w:val="Bibliography"/>
      </w:pPr>
      <w:r>
        <w:t xml:space="preserve">[1]</w:t>
      </w:r>
      <w:r>
        <w:t xml:space="preserve"> </w:t>
      </w:r>
      <w:r>
        <w:t xml:space="preserve">	</w:t>
      </w:r>
      <w:r>
        <w:t xml:space="preserve">N. Hasin</w:t>
      </w:r>
      <w:r>
        <w:t xml:space="preserve"> </w:t>
      </w:r>
      <w:r>
        <w:rPr>
          <w:i/>
          <w:iCs/>
        </w:rPr>
        <w:t xml:space="preserve">et al.</w:t>
      </w:r>
      <w:r>
        <w:t xml:space="preserve">,</w:t>
      </w:r>
      <w:r>
        <w:t xml:space="preserve"> </w:t>
      </w:r>
      <w:r>
        <w:t xml:space="preserve">“Rare variants implicate NMDA receptor signaling and cerebellar gene networks in risk for bipolar disorder,”</w:t>
      </w:r>
      <w:r>
        <w:t xml:space="preserve"> </w:t>
      </w:r>
      <w:r>
        <w:rPr>
          <w:i/>
          <w:iCs/>
        </w:rPr>
        <w:t xml:space="preserve">Molecular psychiatry</w:t>
      </w:r>
      <w:r>
        <w:t xml:space="preserve">, vol. 27, no. 9, pp. 3842–3856, 2022, Available:</w:t>
      </w:r>
      <w:r>
        <w:t xml:space="preserve"> </w:t>
      </w:r>
      <w:hyperlink r:id="rId111">
        <w:r>
          <w:rPr>
            <w:rStyle w:val="Hyperlink"/>
          </w:rPr>
          <w:t xml:space="preserve">https://drive.google.com/file/d/1sX5EZ6BErqS3UFaN3rK7YUjIhNyPOSqc/view</w:t>
        </w:r>
      </w:hyperlink>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2025-07-17T18:55:34Z</dcterms:created>
  <dcterms:modified xsi:type="dcterms:W3CDTF">2025-07-17T18:55:34Z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