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Genomic</w:t>
      </w:r>
      <w:r>
        <w:t xml:space="preserve"> </w:t>
      </w:r>
      <w:r>
        <w:t xml:space="preserve">Medicine</w:t>
      </w:r>
      <w:r>
        <w:t xml:space="preserve"> </w:t>
      </w:r>
      <w:r>
        <w:t xml:space="preserve">and</w:t>
      </w:r>
      <w:r>
        <w:t xml:space="preserve"> </w:t>
      </w:r>
      <w:r>
        <w:t xml:space="preserve">Polygenic</w:t>
      </w:r>
      <w:r>
        <w:t xml:space="preserve"> </w:t>
      </w:r>
      <w:r>
        <w:t xml:space="preserve">Risk</w:t>
      </w:r>
      <w:r>
        <w:t xml:space="preserve"> </w:t>
      </w:r>
      <w:r>
        <w:t xml:space="preserve">Scores</w:t>
      </w:r>
    </w:p>
    <w:p>
      <w:pPr>
        <w:pStyle w:val="FirstParagraph"/>
      </w:pPr>
      <w:r>
        <w:drawing>
          <wp:inline>
            <wp:extent cx="4800600" cy="2700337"/>
            <wp:effectExtent b="0" l="0" r="0" t="0"/>
            <wp:docPr descr="" title="" id="21" name="Picture"/>
            <a:graphic>
              <a:graphicData uri="http://schemas.openxmlformats.org/drawingml/2006/picture">
                <pic:pic>
                  <pic:nvPicPr>
                    <pic:cNvPr descr="genomic_med_prs_files/figure-docx//1QxPej8YIbgsToOITRYKLxmGScjo0Eu5ldiKEE-lXvF0_g35f4636d8f5_0_6.png" id="22" name="Picture"/>
                    <pic:cNvPicPr>
                      <a:picLocks noChangeArrowheads="1" noChangeAspect="1"/>
                    </pic:cNvPicPr>
                  </pic:nvPicPr>
                  <pic:blipFill>
                    <a:blip r:embed="rId20"/>
                    <a:stretch>
                      <a:fillRect/>
                    </a:stretch>
                  </pic:blipFill>
                  <pic:spPr bwMode="auto">
                    <a:xfrm>
                      <a:off x="0" y="0"/>
                      <a:ext cx="4800600" cy="2700337"/>
                    </a:xfrm>
                    <a:prstGeom prst="rect">
                      <a:avLst/>
                    </a:prstGeom>
                    <a:noFill/>
                    <a:ln w="9525">
                      <a:noFill/>
                      <a:headEnd/>
                      <a:tailEnd/>
                    </a:ln>
                  </pic:spPr>
                </pic:pic>
              </a:graphicData>
            </a:graphic>
          </wp:inline>
        </w:drawing>
      </w:r>
    </w:p>
    <w:bookmarkStart w:id="23" w:name="overview"/>
    <w:p>
      <w:pPr>
        <w:pStyle w:val="Heading2"/>
      </w:pPr>
      <w:r>
        <w:t xml:space="preserve">Overview</w:t>
      </w:r>
    </w:p>
    <w:p>
      <w:pPr>
        <w:pStyle w:val="FirstParagraph"/>
      </w:pPr>
      <w:r>
        <w:t xml:space="preserve">This activity will walk through how to use an online polygenic risk score (PRS) calculator, as well as how to interpret the outcome. Students will also compare calculations using different superpopulations, demonstrating the importance of diverse ancestry in PRS interpretation.</w:t>
      </w:r>
    </w:p>
    <w:p>
      <w:pPr>
        <w:pStyle w:val="BodyText"/>
      </w:pPr>
      <w:r>
        <w:rPr>
          <w:b/>
          <w:bCs/>
        </w:rPr>
        <w:t xml:space="preserve">Duration:</w:t>
      </w:r>
      <w:r>
        <w:t xml:space="preserve"> </w:t>
      </w:r>
      <w:r>
        <w:t xml:space="preserve">Approximately 2-3 hours</w:t>
      </w:r>
    </w:p>
    <w:bookmarkEnd w:id="23"/>
    <w:bookmarkStart w:id="25" w:name="learning-objectives"/>
    <w:p>
      <w:pPr>
        <w:pStyle w:val="Heading2"/>
      </w:pPr>
      <w:r>
        <w:t xml:space="preserve">Learning Objectives</w:t>
      </w:r>
    </w:p>
    <w:p>
      <w:pPr>
        <w:numPr>
          <w:ilvl w:val="0"/>
          <w:numId w:val="1001"/>
        </w:numPr>
      </w:pPr>
      <w:r>
        <w:t xml:space="preserve">Calculate and interpret polygenic risk scores.</w:t>
      </w:r>
    </w:p>
    <w:p>
      <w:pPr>
        <w:numPr>
          <w:ilvl w:val="0"/>
          <w:numId w:val="1001"/>
        </w:numPr>
      </w:pPr>
      <w:r>
        <w:t xml:space="preserve">Compare risk percentiles using different ancestral superpopulations.</w:t>
      </w:r>
    </w:p>
    <w:p>
      <w:pPr>
        <w:numPr>
          <w:ilvl w:val="0"/>
          <w:numId w:val="1001"/>
        </w:numPr>
      </w:pPr>
      <w:r>
        <w:t xml:space="preserve">Identify and critique scientific issues relating to society or ethics (see</w:t>
      </w:r>
      <w:r>
        <w:t xml:space="preserve"> </w:t>
      </w:r>
      <w:hyperlink r:id="rId24">
        <w:r>
          <w:rPr>
            <w:rStyle w:val="Hyperlink"/>
          </w:rPr>
          <w:t xml:space="preserve">GSA</w:t>
        </w:r>
      </w:hyperlink>
      <w:r>
        <w:t xml:space="preserve"> </w:t>
      </w:r>
      <w:r>
        <w:t xml:space="preserve">core competencies).</w:t>
      </w:r>
    </w:p>
    <w:bookmarkEnd w:id="25"/>
    <w:bookmarkStart w:id="31" w:name="materials-and-setup"/>
    <w:p>
      <w:pPr>
        <w:pStyle w:val="Heading2"/>
      </w:pPr>
      <w:r>
        <w:t xml:space="preserve">Materials and Setup</w:t>
      </w:r>
    </w:p>
    <w:p>
      <w:pPr>
        <w:numPr>
          <w:ilvl w:val="0"/>
          <w:numId w:val="1002"/>
        </w:numPr>
      </w:pPr>
      <w:r>
        <w:t xml:space="preserve">Students will need:</w:t>
      </w:r>
    </w:p>
    <w:p>
      <w:pPr>
        <w:pStyle w:val="Compact"/>
        <w:numPr>
          <w:ilvl w:val="1"/>
          <w:numId w:val="1003"/>
        </w:numPr>
      </w:pPr>
      <w:r>
        <w:t xml:space="preserve">An internet connection for this activity. Students will use this website:</w:t>
      </w:r>
      <w:r>
        <w:t xml:space="preserve"> </w:t>
      </w:r>
      <w:hyperlink r:id="rId26">
        <w:r>
          <w:rPr>
            <w:rStyle w:val="Hyperlink"/>
          </w:rPr>
          <w:t xml:space="preserve">https://prs.byu.edu/calculate_score.html</w:t>
        </w:r>
      </w:hyperlink>
      <w:r>
        <w:t xml:space="preserve">.</w:t>
      </w:r>
    </w:p>
    <w:p>
      <w:pPr>
        <w:numPr>
          <w:ilvl w:val="0"/>
          <w:numId w:val="1002"/>
        </w:numPr>
      </w:pPr>
      <w:r>
        <w:t xml:space="preserve">Data hosting: LINK</w:t>
      </w:r>
    </w:p>
    <w:p>
      <w:pPr>
        <w:numPr>
          <w:ilvl w:val="0"/>
          <w:numId w:val="1002"/>
        </w:numPr>
      </w:pPr>
      <w:r>
        <w:t xml:space="preserve">Download the R student activity as:</w:t>
      </w:r>
    </w:p>
    <w:p>
      <w:pPr>
        <w:pStyle w:val="Compact"/>
        <w:numPr>
          <w:ilvl w:val="1"/>
          <w:numId w:val="1004"/>
        </w:numPr>
      </w:pPr>
      <w:hyperlink r:id="rId27">
        <w:r>
          <w:rPr>
            <w:rStyle w:val="Hyperlink"/>
          </w:rPr>
          <w:t xml:space="preserve">Web page</w:t>
        </w:r>
      </w:hyperlink>
    </w:p>
    <w:p>
      <w:pPr>
        <w:pStyle w:val="Compact"/>
        <w:numPr>
          <w:ilvl w:val="1"/>
          <w:numId w:val="1004"/>
        </w:numPr>
      </w:pPr>
      <w:hyperlink r:id="rId28">
        <w:r>
          <w:rPr>
            <w:rStyle w:val="Hyperlink"/>
          </w:rPr>
          <w:t xml:space="preserve">Quarto (qmd)</w:t>
        </w:r>
      </w:hyperlink>
    </w:p>
    <w:p>
      <w:pPr>
        <w:pStyle w:val="Compact"/>
        <w:numPr>
          <w:ilvl w:val="1"/>
          <w:numId w:val="1004"/>
        </w:numPr>
      </w:pPr>
      <w:hyperlink r:id="rId29">
        <w:r>
          <w:rPr>
            <w:rStyle w:val="Hyperlink"/>
          </w:rPr>
          <w:t xml:space="preserve">Word (docx)</w:t>
        </w:r>
      </w:hyperlink>
    </w:p>
    <w:p>
      <w:pPr>
        <w:pStyle w:val="Compact"/>
        <w:numPr>
          <w:ilvl w:val="1"/>
          <w:numId w:val="1004"/>
        </w:numPr>
      </w:pPr>
      <w:hyperlink r:id="rId30">
        <w:r>
          <w:rPr>
            <w:rStyle w:val="Hyperlink"/>
          </w:rPr>
          <w:t xml:space="preserve">Google Doc</w:t>
        </w:r>
      </w:hyperlink>
      <w:r>
        <w:t xml:space="preserve"> </w:t>
      </w:r>
      <w:r>
        <w:t xml:space="preserve">- coming soon!</w:t>
      </w:r>
    </w:p>
    <w:p>
      <w:pPr>
        <w:numPr>
          <w:ilvl w:val="0"/>
          <w:numId w:val="1002"/>
        </w:numPr>
      </w:pPr>
      <w:r>
        <w:t xml:space="preserve">Google Slides presentation available for borrowing images</w:t>
      </w:r>
      <w:r>
        <w:t xml:space="preserve"> </w:t>
      </w:r>
      <w:hyperlink r:id="rId30">
        <w:r>
          <w:rPr>
            <w:rStyle w:val="Hyperlink"/>
          </w:rPr>
          <w:t xml:space="preserve">here</w:t>
        </w:r>
      </w:hyperlink>
      <w:r>
        <w:t xml:space="preserve">.</w:t>
      </w:r>
    </w:p>
    <w:p>
      <w:pPr>
        <w:numPr>
          <w:ilvl w:val="0"/>
          <w:numId w:val="1002"/>
        </w:numPr>
      </w:pPr>
      <w:r>
        <w:t xml:space="preserve">Answer key available</w:t>
      </w:r>
      <w:r>
        <w:t xml:space="preserve"> </w:t>
      </w:r>
      <w:hyperlink r:id="rId30">
        <w:r>
          <w:rPr>
            <w:rStyle w:val="Hyperlink"/>
          </w:rPr>
          <w:t xml:space="preserve">here</w:t>
        </w:r>
      </w:hyperlink>
      <w:r>
        <w:t xml:space="preserve">.</w:t>
      </w:r>
    </w:p>
    <w:bookmarkEnd w:id="31"/>
    <w:bookmarkStart w:id="32" w:name="scientific-topics"/>
    <w:p>
      <w:pPr>
        <w:pStyle w:val="Heading2"/>
      </w:pPr>
      <w:r>
        <w:t xml:space="preserve">Scientific Topics</w:t>
      </w:r>
    </w:p>
    <w:p>
      <w:pPr>
        <w:pStyle w:val="FirstParagraph"/>
      </w:pPr>
      <w:r>
        <w:t xml:space="preserve">Coming soon!</w:t>
      </w:r>
    </w:p>
    <w:bookmarkEnd w:id="32"/>
    <w:bookmarkStart w:id="33" w:name="outline"/>
    <w:p>
      <w:pPr>
        <w:pStyle w:val="Heading2"/>
      </w:pPr>
      <w:r>
        <w:t xml:space="preserve">Outline</w:t>
      </w:r>
    </w:p>
    <w:p>
      <w:pPr>
        <w:pStyle w:val="FirstParagraph"/>
      </w:pPr>
      <w:r>
        <w:t xml:space="preserve">Coming soon!</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30" Target="" TargetMode="External" /><Relationship Type="http://schemas.openxmlformats.org/officeDocument/2006/relationships/hyperlink" Id="rId24" Target="https://genetics-gsa.org/education/genetics-learning-framework/" TargetMode="External" /><Relationship Type="http://schemas.openxmlformats.org/officeDocument/2006/relationships/hyperlink" Id="rId27" Target="https://genomicseducation.org/module/genomic_med_prs_student_guide.html" TargetMode="External" /><Relationship Type="http://schemas.openxmlformats.org/officeDocument/2006/relationships/hyperlink" Id="rId28" Target="https://github.com/fhdsl/GEMs/blob/main/module/genomic_med_prs_student_guide.qmd" TargetMode="External" /><Relationship Type="http://schemas.openxmlformats.org/officeDocument/2006/relationships/hyperlink" Id="rId29" Target="https://github.com/fhdsl/GEMs/raw/main/docs/docx/module/genomic_med_prs_student_guide.docx" TargetMode="External" /><Relationship Type="http://schemas.openxmlformats.org/officeDocument/2006/relationships/hyperlink" Id="rId26" Target="https://prs.byu.edu/calculate_score.html" TargetMode="External" /></Relationships>
</file>

<file path=word/_rels/footnotes.xml.rels><?xml version="1.0" encoding="UTF-8"?><Relationships xmlns="http://schemas.openxmlformats.org/package/2006/relationships"><Relationship Type="http://schemas.openxmlformats.org/officeDocument/2006/relationships/hyperlink" Id="rId30" Target="" TargetMode="External" /><Relationship Type="http://schemas.openxmlformats.org/officeDocument/2006/relationships/hyperlink" Id="rId24" Target="https://genetics-gsa.org/education/genetics-learning-framework/" TargetMode="External" /><Relationship Type="http://schemas.openxmlformats.org/officeDocument/2006/relationships/hyperlink" Id="rId27" Target="https://genomicseducation.org/module/genomic_med_prs_student_guide.html" TargetMode="External" /><Relationship Type="http://schemas.openxmlformats.org/officeDocument/2006/relationships/hyperlink" Id="rId28" Target="https://github.com/fhdsl/GEMs/blob/main/module/genomic_med_prs_student_guide.qmd" TargetMode="External" /><Relationship Type="http://schemas.openxmlformats.org/officeDocument/2006/relationships/hyperlink" Id="rId29" Target="https://github.com/fhdsl/GEMs/raw/main/docs/docx/module/genomic_med_prs_student_guide.docx" TargetMode="External" /><Relationship Type="http://schemas.openxmlformats.org/officeDocument/2006/relationships/hyperlink" Id="rId26" Target="https://prs.byu.edu/calculate_score.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Genomic Medicine and Polygenic Risk Scores</dc:title>
  <dc:creator/>
  <cp:keywords/>
  <dcterms:created xsi:type="dcterms:W3CDTF">2025-06-02T03:02:31Z</dcterms:created>
  <dcterms:modified xsi:type="dcterms:W3CDTF">2025-06-02T03:02:31Z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