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24.png" ContentType="image/png"/>
  <Override PartName="/word/media/rId56.png" ContentType="image/png"/>
  <Override PartName="/word/media/rId39.png" ContentType="image/png"/>
  <Override PartName="/word/media/rId36.png" ContentType="image/png"/>
  <Override PartName="/word/media/rId91.png" ContentType="image/png"/>
  <Override PartName="/word/media/rId94.png" ContentType="image/png"/>
  <Override PartName="/word/media/rId98.png" ContentType="image/png"/>
  <Override PartName="/word/media/rId43.png" ContentType="image/png"/>
  <Override PartName="/word/media/rId46.png" ContentType="image/png"/>
  <Override PartName="/word/media/rId59.png" ContentType="image/png"/>
  <Override PartName="/word/media/rId20.png" ContentType="image/png"/>
  <Override PartName="/word/media/rId63.png" ContentType="image/png"/>
  <Override PartName="/word/media/rId66.png" ContentType="image/png"/>
  <Override PartName="/word/media/rId74.png" ContentType="image/png"/>
  <Override PartName="/word/media/rId8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Polygenic</w:t>
      </w:r>
      <w:r>
        <w:t xml:space="preserve"> </w:t>
      </w:r>
      <w:r>
        <w:t xml:space="preserve">Risk</w:t>
      </w:r>
      <w:r>
        <w:t xml:space="preserve"> </w:t>
      </w:r>
      <w:r>
        <w:t xml:space="preserve">Score</w:t>
      </w:r>
      <w:r>
        <w:t xml:space="preserve"> </w:t>
      </w:r>
      <w:r>
        <w:t xml:space="preserve">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0"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3"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Huntington’s, are passed along via</w:t>
      </w:r>
      <w:r>
        <w:t xml:space="preserve"> </w:t>
      </w:r>
      <w:r>
        <w:rPr>
          <w:i/>
          <w:iCs/>
        </w:rPr>
        <w:t xml:space="preserve">Mendelian inheritance</w:t>
      </w:r>
      <w:r>
        <w:t xml:space="preserve">. A mutation in a single gene is enough to disrupt normal protein synthesis and cellular processes, causing a person to become sick.</w:t>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Polygenic traits are quite common, and they aren’t always diseases! Any trait that shows a range of phenotypes is likely to be the result of polygenic inheritance. Some of the more famous polygenic traits include height and skin color.</w:t>
      </w:r>
    </w:p>
    <w:bookmarkEnd w:id="23"/>
    <w:bookmarkStart w:id="27"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 how likely a person might be to develop a disease based on their genetics.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opt/quarto/share/formats/docx/tip.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pPr>
              <w:spacing w:after="16"/>
            </w:pPr>
            <w:r>
              <w:t xml:space="preserve">A PRS is just a rough estimate based on what we know at the moment about the genetics that contribute to developing a disease. In many case, a high PRS will only increase a person’s overall risk for a disease by less than 5%.</w:t>
            </w:r>
          </w:p>
        </w:tc>
      </w:tr>
    </w:tbl>
    <w:p>
      <w:pPr>
        <w:pStyle w:val="BodyText"/>
      </w:pPr>
      <w:r>
        <w:t xml:space="preserve">At its core, the polygenic risk score is a simple idea. If multiple variants can contribute to the development of a disease, other variants might also provide protection from a disease. We can look at all the variants a person might have, add them up, and then get an idea of whether they have more variants that contribute to a disease relative to how many protective variants they have.</w:t>
      </w:r>
    </w:p>
    <w:p>
      <w:pPr>
        <w:pStyle w:val="BodyText"/>
      </w:pPr>
      <w:r>
        <w:t xml:space="preserve">Being able to calculate a PRS requires that scientists have an understanding of all the genes and noncoding regions of DNA that might contribute to developing (or not developing) a disease.</w:t>
      </w:r>
      <w:r>
        <w:t xml:space="preserve"> </w:t>
      </w:r>
      <w:r>
        <w:rPr>
          <w:b/>
          <w:bCs/>
        </w:rPr>
        <w:t xml:space="preserve">A PRS is only as good as the reference database for a particular disease or trait.</w:t>
      </w:r>
    </w:p>
    <w:bookmarkEnd w:id="27"/>
    <w:bookmarkStart w:id="28" w:name="genomic-ancestry"/>
    <w:p>
      <w:pPr>
        <w:pStyle w:val="Heading3"/>
      </w:pPr>
      <w:r>
        <w:t xml:space="preserve">Genomic Ancestry</w:t>
      </w:r>
    </w:p>
    <w:bookmarkEnd w:id="28"/>
    <w:bookmarkStart w:id="30"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 (see</w:t>
      </w:r>
      <w:r>
        <w:t xml:space="preserve"> </w:t>
      </w:r>
      <w:hyperlink r:id="rId29">
        <w:r>
          <w:rPr>
            <w:rStyle w:val="Hyperlink"/>
          </w:rPr>
          <w:t xml:space="preserve">this source</w:t>
        </w:r>
      </w:hyperlink>
      <w:r>
        <w:t xml:space="preserve">). This means that genetic screening and symptom monitoring, especially in older age, can have a big impact on outcomes.</w:t>
      </w:r>
    </w:p>
    <w:bookmarkEnd w:id="30"/>
    <w:bookmarkStart w:id="34" w:name="mr.-js-data"/>
    <w:p>
      <w:pPr>
        <w:pStyle w:val="Heading3"/>
      </w:pPr>
      <w:r>
        <w:t xml:space="preserve">Mr. J’s Data</w:t>
      </w:r>
    </w:p>
    <w:p>
      <w:pPr>
        <w:pStyle w:val="FirstParagraph"/>
      </w:pPr>
      <w:r>
        <w:t xml:space="preserve">We’re going to take gene screening data from an imaginary patient, Mr. J, to understand his risk. Mr. J has African ancestry, which will be important later.</w:t>
      </w:r>
    </w:p>
    <w:p>
      <w:pPr>
        <w:pStyle w:val="BodyText"/>
      </w:pPr>
      <w:r>
        <w:t xml:space="preserve">Get the data at</w:t>
      </w:r>
      <w:r>
        <w:t xml:space="preserve"> </w:t>
      </w:r>
      <w:hyperlink r:id="rId31">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bookmarkEnd w:id="34"/>
    <w:bookmarkStart w:id="49"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35">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37" name="Picture"/>
            <a:graphic>
              <a:graphicData uri="http://schemas.openxmlformats.org/drawingml/2006/picture">
                <pic:pic>
                  <pic:nvPicPr>
                    <pic:cNvPr descr="genomic_med_prs_student_guide_files/figure-docx//1QxPej8YIbgsToOITRYKLxmGScjo0Eu5ldiKEE-lXvF0_g35f43ab35e5_0_6.png" id="38" name="Picture"/>
                    <pic:cNvPicPr>
                      <a:picLocks noChangeArrowheads="1" noChangeAspect="1"/>
                    </pic:cNvPicPr>
                  </pic:nvPicPr>
                  <pic:blipFill>
                    <a:blip r:embed="rId3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0" name="Picture"/>
            <a:graphic>
              <a:graphicData uri="http://schemas.openxmlformats.org/drawingml/2006/picture">
                <pic:pic>
                  <pic:nvPicPr>
                    <pic:cNvPr descr="genomic_med_prs_student_guide_files/figure-docx//1QxPej8YIbgsToOITRYKLxmGScjo0Eu5ldiKEE-lXvF0_g35f43ab35e5_0_11.png" id="41" name="Picture"/>
                    <pic:cNvPicPr>
                      <a:picLocks noChangeArrowheads="1" noChangeAspect="1"/>
                    </pic:cNvPicPr>
                  </pic:nvPicPr>
                  <pic:blipFill>
                    <a:blip r:embed="rId3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2">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4" name="Picture"/>
            <a:graphic>
              <a:graphicData uri="http://schemas.openxmlformats.org/drawingml/2006/picture">
                <pic:pic>
                  <pic:nvPicPr>
                    <pic:cNvPr descr="genomic_med_prs_student_guide_files/figure-docx//1QxPej8YIbgsToOITRYKLxmGScjo0Eu5ldiKEE-lXvF0_g35f4636d8f5_0_37.png" id="45" name="Picture"/>
                    <pic:cNvPicPr>
                      <a:picLocks noChangeArrowheads="1" noChangeAspect="1"/>
                    </pic:cNvPicPr>
                  </pic:nvPicPr>
                  <pic:blipFill>
                    <a:blip r:embed="rId4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47" name="Picture"/>
            <a:graphic>
              <a:graphicData uri="http://schemas.openxmlformats.org/drawingml/2006/picture">
                <pic:pic>
                  <pic:nvPicPr>
                    <pic:cNvPr descr="genomic_med_prs_student_guide_files/figure-docx//1QxPej8YIbgsToOITRYKLxmGScjo0Eu5ldiKEE-lXvF0_g35f4636d8f5_0_42.png" id="48" name="Picture"/>
                    <pic:cNvPicPr>
                      <a:picLocks noChangeArrowheads="1" noChangeAspect="1"/>
                    </pic:cNvPicPr>
                  </pic:nvPicPr>
                  <pic:blipFill>
                    <a:blip r:embed="rId4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bookmarkEnd w:id="49"/>
    <w:bookmarkEnd w:id="50"/>
    <w:bookmarkStart w:id="54"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opt/quarto/share/formats/docx/note.png" id="53"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p>
          <w:p>
            <w:pPr>
              <w:pStyle w:val="Compact"/>
              <w:numPr>
                <w:ilvl w:val="1"/>
                <w:numId w:val="1002"/>
              </w:numPr>
            </w:pPr>
            <w:r>
              <w:t xml:space="preserve">PRS must be based on an appropriate database of gene variants.</w:t>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35">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54"/>
    <w:bookmarkStart w:id="86" w:name="part-2"/>
    <w:p>
      <w:pPr>
        <w:pStyle w:val="Heading2"/>
      </w:pPr>
      <w:r>
        <w:t xml:space="preserve">Part 2</w:t>
      </w:r>
    </w:p>
    <w:p>
      <w:pPr>
        <w:pStyle w:val="FirstParagraph"/>
      </w:pPr>
      <w:r>
        <w:t xml:space="preserve">In Part 2, we’ll calculate our first PRS score.</w:t>
      </w:r>
    </w:p>
    <w:bookmarkStart w:id="62" w:name="entering-data"/>
    <w:p>
      <w:pPr>
        <w:pStyle w:val="Heading3"/>
      </w:pPr>
      <w:r>
        <w:t xml:space="preserve">Entering Data</w:t>
      </w:r>
    </w:p>
    <w:p>
      <w:pPr>
        <w:pStyle w:val="FirstParagraph"/>
      </w:pPr>
      <w:r>
        <w:t xml:space="preserve">Go to</w:t>
      </w:r>
      <w:r>
        <w:t xml:space="preserve"> </w:t>
      </w:r>
      <w:hyperlink r:id="rId55">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57" name="Picture"/>
            <a:graphic>
              <a:graphicData uri="http://schemas.openxmlformats.org/drawingml/2006/picture">
                <pic:pic>
                  <pic:nvPicPr>
                    <pic:cNvPr descr="genomic_med_prs_student_guide_files/figure-docx//1QxPej8YIbgsToOITRYKLxmGScjo0Eu5ldiKEE-lXvF0_g35f43ab35e5_0_0.png" id="58" name="Picture"/>
                    <pic:cNvPicPr>
                      <a:picLocks noChangeArrowheads="1" noChangeAspect="1"/>
                    </pic:cNvPicPr>
                  </pic:nvPicPr>
                  <pic:blipFill>
                    <a:blip r:embed="rId5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Return to the data</w:t>
      </w:r>
      <w:r>
        <w:t xml:space="preserve"> </w:t>
      </w:r>
      <w:hyperlink r:id="rId31">
        <w:r>
          <w:rPr>
            <w:rStyle w:val="Hyperlink"/>
          </w:rPr>
          <w:t xml:space="preserve">here</w:t>
        </w:r>
      </w:hyperlink>
      <w:r>
        <w:t xml:space="preserve">. Copy this data into the top part of the PRS calculator website.</w:t>
      </w:r>
    </w:p>
    <w:p>
      <w:pPr>
        <w:pStyle w:val="BodyText"/>
      </w:pPr>
      <w:r>
        <w:drawing>
          <wp:inline>
            <wp:extent cx="4800600" cy="2700337"/>
            <wp:effectExtent b="0" l="0" r="0" t="0"/>
            <wp:docPr descr="" title="" id="60" name="Picture"/>
            <a:graphic>
              <a:graphicData uri="http://schemas.openxmlformats.org/drawingml/2006/picture">
                <pic:pic>
                  <pic:nvPicPr>
                    <pic:cNvPr descr="genomic_med_prs_student_guide_files/figure-docx//1QxPej8YIbgsToOITRYKLxmGScjo0Eu5ldiKEE-lXvF0_g35f4636d8f5_0_57.png" id="61" name="Picture"/>
                    <pic:cNvPicPr>
                      <a:picLocks noChangeArrowheads="1" noChangeAspect="1"/>
                    </pic:cNvPicPr>
                  </pic:nvPicPr>
                  <pic:blipFill>
                    <a:blip r:embed="rId59"/>
                    <a:stretch>
                      <a:fillRect/>
                    </a:stretch>
                  </pic:blipFill>
                  <pic:spPr bwMode="auto">
                    <a:xfrm>
                      <a:off x="0" y="0"/>
                      <a:ext cx="4800600" cy="2700337"/>
                    </a:xfrm>
                    <a:prstGeom prst="rect">
                      <a:avLst/>
                    </a:prstGeom>
                    <a:noFill/>
                    <a:ln w="9525">
                      <a:noFill/>
                      <a:headEnd/>
                      <a:tailEnd/>
                    </a:ln>
                  </pic:spPr>
                </pic:pic>
              </a:graphicData>
            </a:graphic>
          </wp:inline>
        </w:drawing>
      </w:r>
    </w:p>
    <w:bookmarkEnd w:id="62"/>
    <w:bookmarkStart w:id="71" w:name="selecting-the-study"/>
    <w:p>
      <w:pPr>
        <w:pStyle w:val="Heading3"/>
      </w:pPr>
      <w:r>
        <w:t xml:space="preserve">Selecting the Study</w:t>
      </w:r>
    </w:p>
    <w:p>
      <w:pPr>
        <w:pStyle w:val="FirstParagraph"/>
      </w:pPr>
      <w:r>
        <w:t xml:space="preserve">Next, scroll down to</w:t>
      </w:r>
      <w:r>
        <w:t xml:space="preserve"> </w:t>
      </w:r>
      <w:r>
        <w:t xml:space="preserve">“</w:t>
      </w:r>
      <w:r>
        <w:t xml:space="preserve">GWAS Summary Statistics</w:t>
      </w:r>
      <w:r>
        <w:t xml:space="preserve">”</w:t>
      </w:r>
      <w:r>
        <w:t xml:space="preserve">. For item #1,</w:t>
      </w:r>
      <w:r>
        <w:t xml:space="preserve"> </w:t>
      </w:r>
      <w:r>
        <w:t xml:space="preserve">“</w:t>
      </w:r>
      <w:r>
        <w:t xml:space="preserve">Select Disease(s) or Trait(s) of Interest</w:t>
      </w:r>
      <w:r>
        <w:t xml:space="preserve">”</w:t>
      </w:r>
      <w:r>
        <w:t xml:space="preserve">, type in</w:t>
      </w:r>
      <w:r>
        <w:t xml:space="preserve"> </w:t>
      </w:r>
      <w:r>
        <w:t xml:space="preserve">“</w:t>
      </w:r>
      <w:r>
        <w:t xml:space="preserve">prostate carcinoma</w:t>
      </w:r>
      <w:r>
        <w:t xml:space="preserve">”</w:t>
      </w:r>
      <w:r>
        <w:t xml:space="preserve"> </w:t>
      </w:r>
      <w:r>
        <w:t xml:space="preserve">and select the checkbox. You might need to type slowly as the dropdown list has a lot of options! Then, click on</w:t>
      </w:r>
      <w:r>
        <w:t xml:space="preserve"> </w:t>
      </w:r>
      <w:r>
        <w:t xml:space="preserve">“</w:t>
      </w:r>
      <w:r>
        <w:t xml:space="preserve">Apply Filters</w:t>
      </w:r>
      <w:r>
        <w:t xml:space="preserve">”</w:t>
      </w:r>
      <w:r>
        <w:t xml:space="preserve"> </w:t>
      </w:r>
      <w:r>
        <w:t xml:space="preserve">to update the studies that can be used to calculate the PRS.</w:t>
      </w:r>
    </w:p>
    <w:p>
      <w:pPr>
        <w:pStyle w:val="BodyText"/>
      </w:pPr>
      <w:r>
        <w:drawing>
          <wp:inline>
            <wp:extent cx="4800600" cy="2700337"/>
            <wp:effectExtent b="0" l="0" r="0" t="0"/>
            <wp:docPr descr="" title="" id="64" name="Picture"/>
            <a:graphic>
              <a:graphicData uri="http://schemas.openxmlformats.org/drawingml/2006/picture">
                <pic:pic>
                  <pic:nvPicPr>
                    <pic:cNvPr descr="genomic_med_prs_student_guide_files/figure-docx//1QxPej8YIbgsToOITRYKLxmGScjo0Eu5ldiKEE-lXvF0_g35f4636d8f5_0_63.png" id="65" name="Picture"/>
                    <pic:cNvPicPr>
                      <a:picLocks noChangeArrowheads="1" noChangeAspect="1"/>
                    </pic:cNvPicPr>
                  </pic:nvPicPr>
                  <pic:blipFill>
                    <a:blip r:embed="rId6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w:t>
      </w:r>
      <w:r>
        <w:t xml:space="preserve">Select from Filtered Studies</w:t>
      </w:r>
      <w:r>
        <w:t xml:space="preserve">”</w:t>
      </w:r>
      <w:r>
        <w:t xml:space="preserve">, type in the study number,</w:t>
      </w:r>
      <w:r>
        <w:t xml:space="preserve"> </w:t>
      </w:r>
      <w:r>
        <w:t xml:space="preserve">“</w:t>
      </w:r>
      <w:r>
        <w:t xml:space="preserve">GCST011047</w:t>
      </w:r>
      <w:r>
        <w:t xml:space="preserve">”</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67" name="Picture"/>
            <a:graphic>
              <a:graphicData uri="http://schemas.openxmlformats.org/drawingml/2006/picture">
                <pic:pic>
                  <pic:nvPicPr>
                    <pic:cNvPr descr="genomic_med_prs_student_guide_files/figure-docx//1QxPej8YIbgsToOITRYKLxmGScjo0Eu5ldiKEE-lXvF0_g35f4636d8f5_0_70.png" id="68" name="Picture"/>
                    <pic:cNvPicPr>
                      <a:picLocks noChangeArrowheads="1" noChangeAspect="1"/>
                    </pic:cNvPicPr>
                  </pic:nvPicPr>
                  <pic:blipFill>
                    <a:blip r:embed="rId6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9" name="Picture"/>
                  <a:graphic>
                    <a:graphicData uri="http://schemas.openxmlformats.org/drawingml/2006/picture">
                      <pic:pic>
                        <pic:nvPicPr>
                          <pic:cNvPr descr="/opt/quarto/share/formats/docx/tip.png" id="7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1"/>
    <w:bookmarkStart w:id="77" w:name="selecting-the-population"/>
    <w:p>
      <w:pPr>
        <w:pStyle w:val="Heading3"/>
      </w:pPr>
      <w:r>
        <w:t xml:space="preserve">Selecting the Population</w:t>
      </w:r>
    </w:p>
    <w:p>
      <w:pPr>
        <w:pStyle w:val="FirstParagraph"/>
      </w:pPr>
      <w:r>
        <w:t xml:space="preserve">Select</w:t>
      </w:r>
      <w:r>
        <w:t xml:space="preserve"> </w:t>
      </w:r>
      <w:r>
        <w:t xml:space="preserve">“</w:t>
      </w:r>
      <w:r>
        <w:t xml:space="preserve">African</w:t>
      </w:r>
      <w:r>
        <w:t xml:space="preserve">”</w:t>
      </w:r>
      <w:r>
        <w:t xml:space="preserve"> </w:t>
      </w:r>
      <w:r>
        <w:t xml:space="preserve">as the</w:t>
      </w:r>
      <w:r>
        <w:t xml:space="preserve"> </w:t>
      </w:r>
      <w:r>
        <w:t xml:space="preserve">“</w:t>
      </w:r>
      <w:r>
        <w:t xml:space="preserve">Preferred Super Population</w:t>
      </w:r>
      <w:r>
        <w:t xml:space="preserve">”</w:t>
      </w:r>
      <w:r>
        <w:t xml:space="preserve"> </w:t>
      </w:r>
      <w:r>
        <w:t xml:space="preserve">and</w:t>
      </w:r>
      <w:r>
        <w:t xml:space="preserve"> </w:t>
      </w:r>
      <w:r>
        <w:t xml:space="preserve">“</w:t>
      </w:r>
      <w:r>
        <w:t xml:space="preserve">1000 Genomes - AFR population</w:t>
      </w:r>
      <w:r>
        <w:t xml:space="preserve">”</w:t>
      </w:r>
      <w:r>
        <w:t xml:space="preserve"> </w:t>
      </w:r>
      <w:r>
        <w:t xml:space="preserve">under</w:t>
      </w:r>
      <w:r>
        <w:t xml:space="preserve"> </w:t>
      </w:r>
      <w:r>
        <w:t xml:space="preserve">“</w:t>
      </w:r>
      <w:r>
        <w:t xml:space="preserve">MAF Population</w:t>
      </w:r>
      <w:r>
        <w:t xml:space="preserve">”</w:t>
      </w:r>
      <w:r>
        <w:t xml:space="preserve">.</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70.png" id="73" name="Picture"/>
                    <pic:cNvPicPr>
                      <a:picLocks noChangeArrowheads="1" noChangeAspect="1"/>
                    </pic:cNvPicPr>
                  </pic:nvPicPr>
                  <pic:blipFill>
                    <a:blip r:embed="rId6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w:t>
      </w:r>
      <w:r>
        <w:t xml:space="preserve">Calculate Risk Scores</w:t>
      </w:r>
      <w:r>
        <w:t xml:space="preserve">”</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84.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bookmarkEnd w:id="77"/>
    <w:bookmarkStart w:id="8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78" name="Picture"/>
            <a:graphic>
              <a:graphicData uri="http://schemas.openxmlformats.org/drawingml/2006/picture">
                <pic:pic>
                  <pic:nvPicPr>
                    <pic:cNvPr descr="genomic_med_prs_student_guide_files/figure-docx//1QxPej8YIbgsToOITRYKLxmGScjo0Eu5ldiKEE-lXvF0_g35f4636d8f5_0_84.png" id="79"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tip.png" id="81"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83" name="Picture"/>
            <a:graphic>
              <a:graphicData uri="http://schemas.openxmlformats.org/drawingml/2006/picture">
                <pic:pic>
                  <pic:nvPicPr>
                    <pic:cNvPr descr="genomic_med_prs_student_guide_files/figure-docx//1QxPej8YIbgsToOITRYKLxmGScjo0Eu5ldiKEE-lXvF0_g35f4636d8f5_0_99.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85"/>
    <w:bookmarkEnd w:id="86"/>
    <w:bookmarkStart w:id="9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7" name="Picture"/>
                  <a:graphic>
                    <a:graphicData uri="http://schemas.openxmlformats.org/drawingml/2006/picture">
                      <pic:pic>
                        <pic:nvPicPr>
                          <pic:cNvPr descr="/opt/quarto/share/formats/docx/note.png" id="88"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Go to the</w:t>
            </w:r>
            <w:r>
              <w:t xml:space="preserve"> </w:t>
            </w:r>
            <w:hyperlink r:id="rId8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w:t>
            </w:r>
            <w:r>
              <w:t xml:space="preserve">Discovery sample description</w:t>
            </w:r>
            <w:r>
              <w:t xml:space="preserve">”</w:t>
            </w:r>
            <w:r>
              <w:t xml:space="preserve">.</w:t>
            </w:r>
          </w:p>
        </w:tc>
      </w:tr>
    </w:tbl>
    <w:bookmarkEnd w:id="90"/>
    <w:bookmarkStart w:id="108" w:name="part-3"/>
    <w:p>
      <w:pPr>
        <w:pStyle w:val="Heading2"/>
      </w:pPr>
      <w:r>
        <w:t xml:space="preserve">Part 3</w:t>
      </w:r>
    </w:p>
    <w:p>
      <w:pPr>
        <w:pStyle w:val="FirstParagraph"/>
      </w:pPr>
      <w:r>
        <w:t xml:space="preserve">In Part 3, we’ll compare the previous PRS score to one calculated using a different study.</w:t>
      </w:r>
    </w:p>
    <w:bookmarkStart w:id="97" w:name="adding-a-study"/>
    <w:p>
      <w:pPr>
        <w:pStyle w:val="Heading3"/>
      </w:pPr>
      <w:r>
        <w:t xml:space="preserve">Adding a Study</w:t>
      </w:r>
    </w:p>
    <w:p>
      <w:pPr>
        <w:pStyle w:val="FirstParagraph"/>
      </w:pPr>
      <w:r>
        <w:t xml:space="preserve">Scroll back up to the</w:t>
      </w:r>
      <w:r>
        <w:t xml:space="preserve"> </w:t>
      </w:r>
      <w:r>
        <w:t xml:space="preserve">“</w:t>
      </w:r>
      <w:r>
        <w:t xml:space="preserve">Select from Filtered Studies</w:t>
      </w:r>
      <w:r>
        <w:t xml:space="preserve">”</w:t>
      </w:r>
      <w:r>
        <w:t xml:space="preserve"> </w:t>
      </w:r>
      <w:r>
        <w:t xml:space="preserve">dropdown. Find Study</w:t>
      </w:r>
      <w:r>
        <w:t xml:space="preserve"> </w:t>
      </w:r>
      <w:r>
        <w:t xml:space="preserve">“</w:t>
      </w:r>
      <w:r>
        <w:t xml:space="preserve">GCST000152</w:t>
      </w:r>
      <w:r>
        <w:t xml:space="preserve">”</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92" name="Picture"/>
            <a:graphic>
              <a:graphicData uri="http://schemas.openxmlformats.org/drawingml/2006/picture">
                <pic:pic>
                  <pic:nvPicPr>
                    <pic:cNvPr descr="genomic_med_prs_student_guide_files/figure-docx//1QxPej8YIbgsToOITRYKLxmGScjo0Eu5ldiKEE-lXvF0_g35f4636d8f5_0_119.png" id="93" name="Picture"/>
                    <pic:cNvPicPr>
                      <a:picLocks noChangeArrowheads="1" noChangeAspect="1"/>
                    </pic:cNvPicPr>
                  </pic:nvPicPr>
                  <pic:blipFill>
                    <a:blip r:embed="rId9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Calculate Risk Scores</w:t>
      </w:r>
      <w:r>
        <w:t xml:space="preserve">”</w:t>
      </w:r>
      <w:r>
        <w:t xml:space="preserve"> </w:t>
      </w:r>
      <w:r>
        <w:t xml:space="preserve">again. This time you should have two lines of results.</w:t>
      </w:r>
    </w:p>
    <w:p>
      <w:pPr>
        <w:pStyle w:val="BodyText"/>
      </w:pPr>
      <w:r>
        <w:drawing>
          <wp:inline>
            <wp:extent cx="4800600" cy="2700337"/>
            <wp:effectExtent b="0" l="0" r="0" t="0"/>
            <wp:docPr descr="" title="" id="95" name="Picture"/>
            <a:graphic>
              <a:graphicData uri="http://schemas.openxmlformats.org/drawingml/2006/picture">
                <pic:pic>
                  <pic:nvPicPr>
                    <pic:cNvPr descr="genomic_med_prs_student_guide_files/figure-docx//1QxPej8YIbgsToOITRYKLxmGScjo0Eu5ldiKEE-lXvF0_g35f4636d8f5_0_127.png" id="96" name="Picture"/>
                    <pic:cNvPicPr>
                      <a:picLocks noChangeArrowheads="1" noChangeAspect="1"/>
                    </pic:cNvPicPr>
                  </pic:nvPicPr>
                  <pic:blipFill>
                    <a:blip r:embed="rId94"/>
                    <a:stretch>
                      <a:fillRect/>
                    </a:stretch>
                  </pic:blipFill>
                  <pic:spPr bwMode="auto">
                    <a:xfrm>
                      <a:off x="0" y="0"/>
                      <a:ext cx="4800600" cy="2700337"/>
                    </a:xfrm>
                    <a:prstGeom prst="rect">
                      <a:avLst/>
                    </a:prstGeom>
                    <a:noFill/>
                    <a:ln w="9525">
                      <a:noFill/>
                      <a:headEnd/>
                      <a:tailEnd/>
                    </a:ln>
                  </pic:spPr>
                </pic:pic>
              </a:graphicData>
            </a:graphic>
          </wp:inline>
        </w:drawing>
      </w:r>
    </w:p>
    <w:bookmarkEnd w:id="97"/>
    <w:bookmarkStart w:id="107"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99" name="Picture"/>
            <a:graphic>
              <a:graphicData uri="http://schemas.openxmlformats.org/drawingml/2006/picture">
                <pic:pic>
                  <pic:nvPicPr>
                    <pic:cNvPr descr="genomic_med_prs_student_guide_files/figure-docx//1QxPej8YIbgsToOITRYKLxmGScjo0Eu5ldiKEE-lXvF0_g35f4636d8f5_0_134.png" id="100" name="Picture"/>
                    <pic:cNvPicPr>
                      <a:picLocks noChangeArrowheads="1" noChangeAspect="1"/>
                    </pic:cNvPicPr>
                  </pic:nvPicPr>
                  <pic:blipFill>
                    <a:blip r:embed="rId9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01" name="Picture"/>
                  <a:graphic>
                    <a:graphicData uri="http://schemas.openxmlformats.org/drawingml/2006/picture">
                      <pic:pic>
                        <pic:nvPicPr>
                          <pic:cNvPr descr="/opt/quarto/share/formats/docx/tip.png" id="102"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0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4" name="Picture"/>
                  <a:graphic>
                    <a:graphicData uri="http://schemas.openxmlformats.org/drawingml/2006/picture">
                      <pic:pic>
                        <pic:nvPicPr>
                          <pic:cNvPr descr="/opt/quarto/share/formats/docx/note.png" id="105"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06">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9" Target="media/rId59.png" /><Relationship Type="http://schemas.openxmlformats.org/officeDocument/2006/relationships/image" Id="rId20" Target="media/rId2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4" Target="media/rId74.png" /><Relationship Type="http://schemas.openxmlformats.org/officeDocument/2006/relationships/image" Id="rId82" Target="media/rId82.png" /><Relationship Type="http://schemas.openxmlformats.org/officeDocument/2006/relationships/hyperlink" Id="rId103" Target="https://allofus.nih.gov/" TargetMode="External" /><Relationship Type="http://schemas.openxmlformats.org/officeDocument/2006/relationships/hyperlink" Id="rId31" Target="https://genomicseducation.org/data/prs_ind_1.txt" TargetMode="External" /><Relationship Type="http://schemas.openxmlformats.org/officeDocument/2006/relationships/hyperlink" Id="rId55" Target="https://prs.byu.edu/calculate_score.html" TargetMode="External" /><Relationship Type="http://schemas.openxmlformats.org/officeDocument/2006/relationships/hyperlink" Id="rId106" Target="https://www.ebi.ac.uk/gwas/studies/GCST000152" TargetMode="External" /><Relationship Type="http://schemas.openxmlformats.org/officeDocument/2006/relationships/hyperlink" Id="rId89" Target="https://www.ebi.ac.uk/gwas/studies/GCST011047"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03" Target="https://allofus.nih.gov/" TargetMode="External" /><Relationship Type="http://schemas.openxmlformats.org/officeDocument/2006/relationships/hyperlink" Id="rId31" Target="https://genomicseducation.org/data/prs_ind_1.txt" TargetMode="External" /><Relationship Type="http://schemas.openxmlformats.org/officeDocument/2006/relationships/hyperlink" Id="rId55" Target="https://prs.byu.edu/calculate_score.html" TargetMode="External" /><Relationship Type="http://schemas.openxmlformats.org/officeDocument/2006/relationships/hyperlink" Id="rId106" Target="https://www.ebi.ac.uk/gwas/studies/GCST000152" TargetMode="External" /><Relationship Type="http://schemas.openxmlformats.org/officeDocument/2006/relationships/hyperlink" Id="rId89" Target="https://www.ebi.ac.uk/gwas/studies/GCST011047"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2025-06-04T15:27:15Z</dcterms:created>
  <dcterms:modified xsi:type="dcterms:W3CDTF">2025-06-04T15:27:15Z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