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24.png" ContentType="image/png"/>
  <Override PartName="/word/media/rId55.png" ContentType="image/png"/>
  <Override PartName="/word/media/rId39.png" ContentType="image/png"/>
  <Override PartName="/word/media/rId36.png" ContentType="image/png"/>
  <Override PartName="/word/media/rId90.png" ContentType="image/png"/>
  <Override PartName="/word/media/rId93.png" ContentType="image/png"/>
  <Override PartName="/word/media/rId97.png" ContentType="image/png"/>
  <Override PartName="/word/media/rId43.png" ContentType="image/png"/>
  <Override PartName="/word/media/rId46.png" ContentType="image/png"/>
  <Override PartName="/word/media/rId58.png" ContentType="image/png"/>
  <Override PartName="/word/media/rId20.png" ContentType="image/png"/>
  <Override PartName="/word/media/rId62.png" ContentType="image/png"/>
  <Override PartName="/word/media/rId65.png" ContentType="image/png"/>
  <Override PartName="/word/media/rId73.png" ContentType="image/png"/>
  <Override PartName="/word/media/rId8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Genomic</w:t>
      </w:r>
      <w:r>
        <w:t xml:space="preserve"> </w:t>
      </w:r>
      <w:r>
        <w:t xml:space="preserve">Medicine</w:t>
      </w:r>
      <w:r>
        <w:t xml:space="preserve"> </w:t>
      </w:r>
      <w:r>
        <w:t xml:space="preserve">and</w:t>
      </w:r>
      <w:r>
        <w:t xml:space="preserve"> </w:t>
      </w:r>
      <w:r>
        <w:t xml:space="preserve">Polygenic</w:t>
      </w:r>
      <w:r>
        <w:t xml:space="preserve"> </w:t>
      </w:r>
      <w:r>
        <w:t xml:space="preserve">Risk</w:t>
      </w:r>
      <w:r>
        <w:t xml:space="preserve"> </w:t>
      </w:r>
      <w:r>
        <w:t xml:space="preserve">Scores</w:t>
      </w:r>
    </w:p>
    <w:p>
      <w:pPr>
        <w:pStyle w:val="FirstParagraph"/>
      </w:pPr>
      <w:r>
        <w:drawing>
          <wp:inline>
            <wp:extent cx="4800600" cy="2700337"/>
            <wp:effectExtent b="0" l="0" r="0" t="0"/>
            <wp:docPr descr="" title="" id="21" name="Picture"/>
            <a:graphic>
              <a:graphicData uri="http://schemas.openxmlformats.org/drawingml/2006/picture">
                <pic:pic>
                  <pic:nvPicPr>
                    <pic:cNvPr descr="genomic_med_prs_student_guide_files/figure-docx//1QxPej8YIbgsToOITRYKLxmGScjo0Eu5ldiKEE-lXvF0_g35f4636d8f5_0_6.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bookmarkStart w:id="50" w:name="part-1"/>
    <w:p>
      <w:pPr>
        <w:pStyle w:val="Heading2"/>
      </w:pPr>
      <w:r>
        <w:t xml:space="preserve">Part 1</w:t>
      </w:r>
    </w:p>
    <w:p>
      <w:pPr>
        <w:pStyle w:val="FirstParagraph"/>
      </w:pPr>
      <w:r>
        <w:t xml:space="preserve">In Part 1, we’ll go over the background and data for this activity.</w:t>
      </w:r>
    </w:p>
    <w:p>
      <w:pPr>
        <w:pStyle w:val="BodyText"/>
      </w:pPr>
      <w:r>
        <w:t xml:space="preserve">Many human diseases are caused by a combination of genetic and environmental factors. For most of these diseases, it can be difficult to predict what combination will lead to a person developing disease. Instead, physicians and researchers talk about the increased risk - essentially, we know what factors increase the likelihood of developing diseases, even if we can’t predict with 100% certainty whether someone might get sick.</w:t>
      </w:r>
    </w:p>
    <w:bookmarkStart w:id="23" w:name="polygenic-inheritance"/>
    <w:p>
      <w:pPr>
        <w:pStyle w:val="Heading3"/>
      </w:pPr>
      <w:r>
        <w:t xml:space="preserve">Polygenic Inheritance</w:t>
      </w:r>
    </w:p>
    <w:p>
      <w:pPr>
        <w:pStyle w:val="FirstParagraph"/>
      </w:pPr>
      <w:r>
        <w:t xml:space="preserve">When we think about genetically-inherited diseases, we usually think about those where a single gene variant can cause disease. Most of the classic examples of genetic disease, like sickle cell anemia, Tay Sachs, or Huntington’s, are passed along via</w:t>
      </w:r>
      <w:r>
        <w:t xml:space="preserve"> </w:t>
      </w:r>
      <w:r>
        <w:rPr>
          <w:i/>
          <w:iCs/>
        </w:rPr>
        <w:t xml:space="preserve">Mendelian inheritance</w:t>
      </w:r>
      <w:r>
        <w:t xml:space="preserve">. A mutation in a single gene is enough to disrupt normal protein synthesis and cellular processes, causing a person to become sick.</w:t>
      </w:r>
    </w:p>
    <w:p>
      <w:pPr>
        <w:pStyle w:val="BodyText"/>
      </w:pPr>
      <w:r>
        <w:t xml:space="preserve">However, most diseases, particularly common diseases, are not the result of a mutation to a single gene. Instead, they are the result of mutations to many different genes. Each mutation itself isn’t enough to cause problems, but when all of them show up together, the cellular processes aren’t able to function normally. This type of inheritance (when a trait is caused by a combination of mutations to many genes) is called</w:t>
      </w:r>
      <w:r>
        <w:t xml:space="preserve"> </w:t>
      </w:r>
      <w:r>
        <w:rPr>
          <w:i/>
          <w:iCs/>
        </w:rPr>
        <w:t xml:space="preserve">polygenic inheritance</w:t>
      </w:r>
      <w:r>
        <w:t xml:space="preserve">. Polygenic traits are quite common, and they aren’t always diseases! Any trait that shows a range of phenotypes is likely to be the result of polygenic inheritance. Some of the more famous polygenic traits include height and skin color.</w:t>
      </w:r>
    </w:p>
    <w:bookmarkEnd w:id="23"/>
    <w:bookmarkStart w:id="27" w:name="polygenic-risk-scores"/>
    <w:p>
      <w:pPr>
        <w:pStyle w:val="Heading3"/>
      </w:pPr>
      <w:r>
        <w:t xml:space="preserve">Polygenic Risk Scores</w:t>
      </w:r>
    </w:p>
    <w:p>
      <w:pPr>
        <w:pStyle w:val="FirstParagraph"/>
      </w:pPr>
      <w:r>
        <w:t xml:space="preserve">Researchers have developed something called a</w:t>
      </w:r>
      <w:r>
        <w:t xml:space="preserve"> </w:t>
      </w:r>
      <w:r>
        <w:t xml:space="preserve">“</w:t>
      </w:r>
      <w:r>
        <w:t xml:space="preserve">polygenic risk score</w:t>
      </w:r>
      <w:r>
        <w:t xml:space="preserve">”</w:t>
      </w:r>
      <w:r>
        <w:t xml:space="preserve"> </w:t>
      </w:r>
      <w:r>
        <w:t xml:space="preserve">(PRS) to estimate how likely a person might be to develop a disease based on their genetics.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opt/quarto/share/formats/docx/tip.png" id="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Understanding Risk</w:t>
            </w:r>
          </w:p>
        </w:tc>
      </w:tr>
      <w:tr>
        <w:trPr>
          <w:cantSplit/>
        </w:trPr>
        <w:tc>
          <w:tcPr>
            <w:tcMar>
              <w:top w:w="108" w:type="dxa"/>
              <w:bottom w:w="108" w:type="dxa"/>
            </w:tcMar>
          </w:tcPr>
          <w:p>
            <w:pPr>
              <w:pStyle w:val="BodyText"/>
            </w:pPr>
            <w:pPr>
              <w:spacing w:before="16"/>
            </w:pPr>
            <w:r>
              <w:t xml:space="preserve">It’s always important to remember that</w:t>
            </w:r>
            <w:r>
              <w:t xml:space="preserve"> </w:t>
            </w:r>
            <w:r>
              <w:rPr>
                <w:b/>
                <w:bCs/>
              </w:rPr>
              <w:t xml:space="preserve">having a higher PRS does not guarantee someone will get a disease.</w:t>
            </w:r>
            <w:r>
              <w:t xml:space="preserve"> </w:t>
            </w:r>
            <w:r>
              <w:t xml:space="preserve">Likewise, having a lower PRS does not guarantee someone is protected from a disease.</w:t>
            </w:r>
          </w:p>
          <w:p>
            <w:pPr>
              <w:pStyle w:val="BodyText"/>
            </w:pPr>
            <w:pPr>
              <w:spacing w:after="16"/>
            </w:pPr>
            <w:r>
              <w:t xml:space="preserve">A PRS is just a rough estimate based on what we know at the moment about the genetics that contribute to developing a disease. In many case, a high PRS will only increase a person’s overall risk for a disease by less than 5%.</w:t>
            </w:r>
          </w:p>
        </w:tc>
      </w:tr>
    </w:tbl>
    <w:p>
      <w:pPr>
        <w:pStyle w:val="BodyText"/>
      </w:pPr>
      <w:r>
        <w:t xml:space="preserve">At its core, the polygenic risk score is a simple idea. If multiple variants can contribute to the development of a disease, other variants might also provide protection from a disease. We can look at all the variants a person might have, add them up, and then get an idea of whether they have more variants that contribute to a disease relative to how many protective variants they have.</w:t>
      </w:r>
    </w:p>
    <w:p>
      <w:pPr>
        <w:pStyle w:val="BodyText"/>
      </w:pPr>
      <w:r>
        <w:t xml:space="preserve">Being able to calculate a PRS requires that scientists have an understanding of all the genes and noncoding regions of DNA that might contribute to developing (or not developing) a disease.</w:t>
      </w:r>
      <w:r>
        <w:t xml:space="preserve"> </w:t>
      </w:r>
      <w:r>
        <w:rPr>
          <w:b/>
          <w:bCs/>
        </w:rPr>
        <w:t xml:space="preserve">A PRS is only as good as the reference database for a particular disease or trait.</w:t>
      </w:r>
    </w:p>
    <w:bookmarkEnd w:id="27"/>
    <w:bookmarkStart w:id="28" w:name="genomic-ancestry"/>
    <w:p>
      <w:pPr>
        <w:pStyle w:val="Heading3"/>
      </w:pPr>
      <w:r>
        <w:t xml:space="preserve">Genomic Ancestry</w:t>
      </w:r>
    </w:p>
    <w:bookmarkEnd w:id="28"/>
    <w:bookmarkStart w:id="30" w:name="exploring-variant-data"/>
    <w:p>
      <w:pPr>
        <w:pStyle w:val="Heading3"/>
      </w:pPr>
      <w:r>
        <w:t xml:space="preserve">Exploring Variant Data</w:t>
      </w:r>
    </w:p>
    <w:p>
      <w:pPr>
        <w:pStyle w:val="FirstParagraph"/>
      </w:pPr>
      <w:r>
        <w:t xml:space="preserve">In the next steps, we’ll be looking at how PRS can help patients be more informed about disease risk.</w:t>
      </w:r>
    </w:p>
    <w:p>
      <w:pPr>
        <w:pStyle w:val="BodyText"/>
      </w:pPr>
      <w:r>
        <w:t xml:space="preserve">This example will look at prostate carcinoma, or prostate cancer. While prostate cancer is common in men and is a leading cause of cancer-related death, it tends to be slow growing with limited aggressiveness (see</w:t>
      </w:r>
      <w:r>
        <w:t xml:space="preserve"> </w:t>
      </w:r>
      <w:hyperlink r:id="rId29">
        <w:r>
          <w:rPr>
            <w:rStyle w:val="Hyperlink"/>
          </w:rPr>
          <w:t xml:space="preserve">https://www.ncbi.nlm.nih.gov/books/NBK470550/</w:t>
        </w:r>
      </w:hyperlink>
      <w:r>
        <w:t xml:space="preserve">). This means that genetic screening and symptom monitoring, especially in older age, can have a big impact on outcomes.</w:t>
      </w:r>
    </w:p>
    <w:bookmarkEnd w:id="30"/>
    <w:bookmarkStart w:id="34" w:name="mr.-js-data"/>
    <w:p>
      <w:pPr>
        <w:pStyle w:val="Heading3"/>
      </w:pPr>
      <w:r>
        <w:t xml:space="preserve">Mr. J’s Data</w:t>
      </w:r>
    </w:p>
    <w:p>
      <w:pPr>
        <w:pStyle w:val="FirstParagraph"/>
      </w:pPr>
      <w:r>
        <w:t xml:space="preserve">We’re going to take gene screening data from an imaginary patient, Mr. J, to understand his risk. Mr. J has African ancestry, which will be important later.</w:t>
      </w:r>
    </w:p>
    <w:p>
      <w:pPr>
        <w:pStyle w:val="BodyText"/>
      </w:pPr>
      <w:r>
        <w:t xml:space="preserve">Get the data at</w:t>
      </w:r>
      <w:r>
        <w:t xml:space="preserve"> </w:t>
      </w:r>
      <w:hyperlink r:id="rId31">
        <w:r>
          <w:rPr>
            <w:rStyle w:val="Hyperlink"/>
          </w:rPr>
          <w:t xml:space="preserve">https://genomicseducation.org/data/prs_ind_1.txt</w:t>
        </w:r>
      </w:hyperlink>
      <w:r>
        <w:t xml:space="preserve">. It should look like:</w:t>
      </w:r>
    </w:p>
    <w:p>
      <w:pPr>
        <w:pStyle w:val="SourceCode"/>
      </w:pPr>
      <w:r>
        <w:rPr>
          <w:rStyle w:val="VerbatimChar"/>
        </w:rPr>
        <w:t xml:space="preserve">rs7463326:G</w:t>
      </w:r>
      <w:r>
        <w:br/>
      </w:r>
      <w:r>
        <w:rPr>
          <w:rStyle w:val="VerbatimChar"/>
        </w:rPr>
        <w:t xml:space="preserve">rs58235267:G</w:t>
      </w:r>
      <w:r>
        <w:br/>
      </w:r>
      <w:r>
        <w:rPr>
          <w:rStyle w:val="VerbatimChar"/>
        </w:rPr>
        <w:t xml:space="preserve">rs74001374:C</w:t>
      </w:r>
      <w:r>
        <w:br/>
      </w:r>
      <w:r>
        <w:rPr>
          <w:rStyle w:val="VerbatimChar"/>
        </w:rP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tip.png" id="33"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does the data mean?</w:t>
            </w:r>
          </w:p>
        </w:tc>
      </w:tr>
      <w:tr>
        <w:trPr>
          <w:cantSplit/>
        </w:trPr>
        <w:tc>
          <w:tcPr>
            <w:tcMar>
              <w:top w:w="108" w:type="dxa"/>
              <w:bottom w:w="108" w:type="dxa"/>
            </w:tcMar>
          </w:tcPr>
          <w:p>
            <w:pPr>
              <w:pStyle w:val="BodyText"/>
            </w:pPr>
            <w:pPr>
              <w:spacing w:before="16"/>
            </w:pPr>
            <w:r>
              <w:t xml:space="preserve">Each line of the data represents a variant location in the genome and individual person’s version of that gene (allele).</w:t>
            </w:r>
          </w:p>
          <w:p>
            <w:pPr>
              <w:pStyle w:val="BodyText"/>
            </w:pPr>
            <w:pPr>
              <w:spacing w:after="16"/>
            </w:pPr>
            <w:r>
              <w:t xml:space="preserve">For example,</w:t>
            </w:r>
            <w:r>
              <w:t xml:space="preserve"> </w:t>
            </w:r>
            <w:r>
              <w:rPr>
                <w:b/>
                <w:bCs/>
              </w:rPr>
              <w:t xml:space="preserve">rs7463326</w:t>
            </w:r>
            <w:r>
              <w:t xml:space="preserve"> </w:t>
            </w:r>
            <w:r>
              <w:t xml:space="preserve">is the variant. 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w:t>
            </w:r>
          </w:p>
        </w:tc>
      </w:tr>
    </w:tbl>
    <w:bookmarkEnd w:id="34"/>
    <w:bookmarkStart w:id="49" w:name="exploring-variants"/>
    <w:p>
      <w:pPr>
        <w:pStyle w:val="Heading3"/>
      </w:pPr>
      <w:r>
        <w:t xml:space="preserve">Exploring Variants</w:t>
      </w:r>
    </w:p>
    <w:p>
      <w:pPr>
        <w:pStyle w:val="FirstParagraph"/>
      </w:pPr>
      <w:r>
        <w:t xml:space="preserve">Let’s explore the</w:t>
      </w:r>
      <w:r>
        <w:t xml:space="preserve"> </w:t>
      </w:r>
      <w:r>
        <w:rPr>
          <w:b/>
          <w:bCs/>
        </w:rPr>
        <w:t xml:space="preserve">rs7463326</w:t>
      </w:r>
      <w:r>
        <w:t xml:space="preserve"> </w:t>
      </w:r>
      <w:r>
        <w:t xml:space="preserve">variant a bit more. Go to</w:t>
      </w:r>
      <w:r>
        <w:t xml:space="preserve"> </w:t>
      </w:r>
      <w:hyperlink r:id="rId35">
        <w:r>
          <w:rPr>
            <w:rStyle w:val="Hyperlink"/>
          </w:rPr>
          <w:t xml:space="preserve">https://www.ebi.ac.uk/gwas/variants</w:t>
        </w:r>
      </w:hyperlink>
      <w:r>
        <w:t xml:space="preserve"> </w:t>
      </w:r>
      <w:r>
        <w:t xml:space="preserve">and type</w:t>
      </w:r>
      <w:r>
        <w:t xml:space="preserve"> </w:t>
      </w:r>
      <w:r>
        <w:t xml:space="preserve">“</w:t>
      </w:r>
      <w:r>
        <w:t xml:space="preserve">rs7463326</w:t>
      </w:r>
      <w:r>
        <w:t xml:space="preserve">”</w:t>
      </w:r>
      <w:r>
        <w:t xml:space="preserve"> </w:t>
      </w:r>
      <w:r>
        <w:t xml:space="preserve">in the search bar.</w:t>
      </w:r>
    </w:p>
    <w:p>
      <w:pPr>
        <w:pStyle w:val="BodyText"/>
      </w:pPr>
      <w:r>
        <w:drawing>
          <wp:inline>
            <wp:extent cx="4800600" cy="2700337"/>
            <wp:effectExtent b="0" l="0" r="0" t="0"/>
            <wp:docPr descr="" title="" id="37" name="Picture"/>
            <a:graphic>
              <a:graphicData uri="http://schemas.openxmlformats.org/drawingml/2006/picture">
                <pic:pic>
                  <pic:nvPicPr>
                    <pic:cNvPr descr="genomic_med_prs_student_guide_files/figure-docx//1QxPej8YIbgsToOITRYKLxmGScjo0Eu5ldiKEE-lXvF0_g35f43ab35e5_0_6.png" id="38" name="Picture"/>
                    <pic:cNvPicPr>
                      <a:picLocks noChangeArrowheads="1" noChangeAspect="1"/>
                    </pic:cNvPicPr>
                  </pic:nvPicPr>
                  <pic:blipFill>
                    <a:blip r:embed="rId3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Select the first result.</w:t>
      </w:r>
    </w:p>
    <w:p>
      <w:pPr>
        <w:pStyle w:val="BodyText"/>
      </w:pPr>
      <w:r>
        <w:drawing>
          <wp:inline>
            <wp:extent cx="4800600" cy="2700337"/>
            <wp:effectExtent b="0" l="0" r="0" t="0"/>
            <wp:docPr descr="" title="" id="40" name="Picture"/>
            <a:graphic>
              <a:graphicData uri="http://schemas.openxmlformats.org/drawingml/2006/picture">
                <pic:pic>
                  <pic:nvPicPr>
                    <pic:cNvPr descr="genomic_med_prs_student_guide_files/figure-docx//1QxPej8YIbgsToOITRYKLxmGScjo0Eu5ldiKEE-lXvF0_g35f43ab35e5_0_11.png" id="41" name="Picture"/>
                    <pic:cNvPicPr>
                      <a:picLocks noChangeArrowheads="1" noChangeAspect="1"/>
                    </pic:cNvPicPr>
                  </pic:nvPicPr>
                  <pic:blipFill>
                    <a:blip r:embed="rId3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Notice the variant information. The most severe</w:t>
      </w:r>
      <w:r>
        <w:t xml:space="preserve"> </w:t>
      </w:r>
      <w:r>
        <w:rPr>
          <w:b/>
          <w:bCs/>
        </w:rPr>
        <w:t xml:space="preserve">rs7463326</w:t>
      </w:r>
      <w:r>
        <w:t xml:space="preserve"> </w:t>
      </w:r>
      <w:r>
        <w:t xml:space="preserve">variant lies in an</w:t>
      </w:r>
      <w:r>
        <w:t xml:space="preserve"> </w:t>
      </w:r>
      <w:hyperlink r:id="rId42">
        <w:r>
          <w:rPr>
            <w:rStyle w:val="Hyperlink"/>
          </w:rPr>
          <w:t xml:space="preserve">intergenic region</w:t>
        </w:r>
      </w:hyperlink>
      <w:r>
        <w:t xml:space="preserve">, or between protein coding genes.</w:t>
      </w:r>
    </w:p>
    <w:p>
      <w:pPr>
        <w:pStyle w:val="BodyText"/>
      </w:pPr>
      <w:r>
        <w:drawing>
          <wp:inline>
            <wp:extent cx="4800600" cy="2700337"/>
            <wp:effectExtent b="0" l="0" r="0" t="0"/>
            <wp:docPr descr="" title="" id="44" name="Picture"/>
            <a:graphic>
              <a:graphicData uri="http://schemas.openxmlformats.org/drawingml/2006/picture">
                <pic:pic>
                  <pic:nvPicPr>
                    <pic:cNvPr descr="genomic_med_prs_student_guide_files/figure-docx//1QxPej8YIbgsToOITRYKLxmGScjo0Eu5ldiKEE-lXvF0_g35f4636d8f5_0_37.png" id="45" name="Picture"/>
                    <pic:cNvPicPr>
                      <a:picLocks noChangeArrowheads="1" noChangeAspect="1"/>
                    </pic:cNvPicPr>
                  </pic:nvPicPr>
                  <pic:blipFill>
                    <a:blip r:embed="rId4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 down to see the risk allele associated with the variant. For</w:t>
      </w:r>
      <w:r>
        <w:t xml:space="preserve"> </w:t>
      </w:r>
      <w:r>
        <w:rPr>
          <w:b/>
          <w:bCs/>
        </w:rPr>
        <w:t xml:space="preserve">rs7463326</w:t>
      </w:r>
      <w:r>
        <w:t xml:space="preserve">, the risk allele is</w:t>
      </w:r>
      <w:r>
        <w:t xml:space="preserve"> </w:t>
      </w:r>
      <w:r>
        <w:t xml:space="preserve">“</w:t>
      </w:r>
      <w:r>
        <w:t xml:space="preserve">G</w:t>
      </w:r>
      <w:r>
        <w:t xml:space="preserve">”</w:t>
      </w:r>
      <w:r>
        <w:t xml:space="preserve"> </w:t>
      </w:r>
      <w:r>
        <w:t xml:space="preserve">and it’s associated with prostate carcinoma.</w:t>
      </w:r>
    </w:p>
    <w:p>
      <w:pPr>
        <w:pStyle w:val="BodyText"/>
      </w:pPr>
      <w:r>
        <w:drawing>
          <wp:inline>
            <wp:extent cx="4800600" cy="2700337"/>
            <wp:effectExtent b="0" l="0" r="0" t="0"/>
            <wp:docPr descr="" title="" id="47" name="Picture"/>
            <a:graphic>
              <a:graphicData uri="http://schemas.openxmlformats.org/drawingml/2006/picture">
                <pic:pic>
                  <pic:nvPicPr>
                    <pic:cNvPr descr="genomic_med_prs_student_guide_files/figure-docx//1QxPej8YIbgsToOITRYKLxmGScjo0Eu5ldiKEE-lXvF0_g35f4636d8f5_0_42.png" id="48" name="Picture"/>
                    <pic:cNvPicPr>
                      <a:picLocks noChangeArrowheads="1" noChangeAspect="1"/>
                    </pic:cNvPicPr>
                  </pic:nvPicPr>
                  <pic:blipFill>
                    <a:blip r:embed="rId4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 This means he might be more at risk than other patients. However, we know risk is often dictated by multiple genes. In the next steps we’ll explore how to assess risk with multiple variants.</w:t>
      </w:r>
    </w:p>
    <w:bookmarkEnd w:id="49"/>
    <w:bookmarkEnd w:id="50"/>
    <w:bookmarkStart w:id="54"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2" name="Picture"/>
                  <a:graphic>
                    <a:graphicData uri="http://schemas.openxmlformats.org/drawingml/2006/picture">
                      <pic:pic>
                        <pic:nvPicPr>
                          <pic:cNvPr descr="/opt/quarto/share/formats/docx/note.png" id="53" name="Picture"/>
                          <pic:cNvPicPr>
                            <a:picLocks noChangeArrowheads="1" noChangeAspect="1"/>
                          </pic:cNvPicPr>
                        </pic:nvPicPr>
                        <pic:blipFill>
                          <a:blip r:embed="rId5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When treating genetic disease, why is it important to examine multiple genes, rather than examine one gene at a time?</w:t>
            </w:r>
          </w:p>
          <w:p>
            <w:pPr>
              <w:numPr>
                <w:ilvl w:val="0"/>
                <w:numId w:val="1001"/>
              </w:numPr>
            </w:pPr>
            <w:r>
              <w:t xml:space="preserve">Which of these are accurate statements?</w:t>
            </w:r>
          </w:p>
          <w:p>
            <w:pPr>
              <w:pStyle w:val="Compact"/>
              <w:numPr>
                <w:ilvl w:val="1"/>
                <w:numId w:val="1002"/>
              </w:numPr>
            </w:pPr>
            <w:r>
              <w:t xml:space="preserve">Having certain gene variants can mean increased risk of disease.</w:t>
            </w:r>
            <w:r>
              <w:br/>
            </w:r>
          </w:p>
          <w:p>
            <w:pPr>
              <w:pStyle w:val="Compact"/>
              <w:numPr>
                <w:ilvl w:val="1"/>
                <w:numId w:val="1002"/>
              </w:numPr>
            </w:pPr>
            <w:r>
              <w:t xml:space="preserve">Higher PRS scores guarantee development of disease.</w:t>
            </w:r>
          </w:p>
          <w:p>
            <w:pPr>
              <w:pStyle w:val="Compact"/>
              <w:numPr>
                <w:ilvl w:val="1"/>
                <w:numId w:val="1002"/>
              </w:numPr>
            </w:pPr>
            <w:r>
              <w:t xml:space="preserve">PRS must be based on an appropriate database of gene variants.</w:t>
            </w:r>
          </w:p>
          <w:p>
            <w:pPr>
              <w:pStyle w:val="Compact"/>
              <w:numPr>
                <w:ilvl w:val="1"/>
                <w:numId w:val="1002"/>
              </w:numPr>
            </w:pPr>
            <w:r>
              <w:t xml:space="preserve">All variants come from protein-coding genes.</w:t>
            </w:r>
          </w:p>
          <w:p>
            <w:pPr>
              <w:numPr>
                <w:ilvl w:val="0"/>
                <w:numId w:val="1001"/>
              </w:numPr>
            </w:pPr>
            <w:r>
              <w:t xml:space="preserve">Try looking up another variant at</w:t>
            </w:r>
            <w:r>
              <w:t xml:space="preserve"> </w:t>
            </w:r>
            <w:hyperlink r:id="rId35">
              <w:r>
                <w:rPr>
                  <w:rStyle w:val="Hyperlink"/>
                </w:rPr>
                <w:t xml:space="preserve">https://www.ebi.ac.uk/gwas/variants</w:t>
              </w:r>
            </w:hyperlink>
            <w:r>
              <w:t xml:space="preserve">. Look up</w:t>
            </w:r>
            <w:r>
              <w:t xml:space="preserve"> </w:t>
            </w:r>
            <w:r>
              <w:t xml:space="preserve">“</w:t>
            </w:r>
            <w:r>
              <w:t xml:space="preserve">rs2075650</w:t>
            </w:r>
            <w:r>
              <w:t xml:space="preserve">”</w:t>
            </w:r>
            <w:r>
              <w:t xml:space="preserve">. What kind of variant is listed under</w:t>
            </w:r>
            <w:r>
              <w:t xml:space="preserve"> </w:t>
            </w:r>
            <w:r>
              <w:t xml:space="preserve">“</w:t>
            </w:r>
            <w:r>
              <w:t xml:space="preserve">Most severe consequence</w:t>
            </w:r>
            <w:r>
              <w:t xml:space="preserve">”</w:t>
            </w:r>
            <w:r>
              <w:t xml:space="preserve">? Are there any diseases associated with this variant?</w:t>
            </w:r>
          </w:p>
        </w:tc>
      </w:tr>
    </w:tbl>
    <w:bookmarkEnd w:id="54"/>
    <w:bookmarkStart w:id="85" w:name="part-2"/>
    <w:p>
      <w:pPr>
        <w:pStyle w:val="Heading2"/>
      </w:pPr>
      <w:r>
        <w:t xml:space="preserve">Part 2</w:t>
      </w:r>
    </w:p>
    <w:p>
      <w:pPr>
        <w:pStyle w:val="FirstParagraph"/>
      </w:pPr>
      <w:r>
        <w:t xml:space="preserve">In Part 2, we’ll calculate our first PRS score.</w:t>
      </w:r>
    </w:p>
    <w:bookmarkStart w:id="61" w:name="entering-data"/>
    <w:p>
      <w:pPr>
        <w:pStyle w:val="Heading3"/>
      </w:pPr>
      <w:r>
        <w:t xml:space="preserve">Entering Data</w:t>
      </w:r>
    </w:p>
    <w:p>
      <w:pPr>
        <w:pStyle w:val="FirstParagraph"/>
      </w:pPr>
      <w:r>
        <w:t xml:space="preserve">Go to https://prs.byu.edu/calculate_score.html - this is the website we’ll use to calculate a PRS for Mr. J’s data.</w:t>
      </w:r>
    </w:p>
    <w:p>
      <w:pPr>
        <w:pStyle w:val="BodyText"/>
      </w:pPr>
      <w:r>
        <w:drawing>
          <wp:inline>
            <wp:extent cx="4800600" cy="2700337"/>
            <wp:effectExtent b="0" l="0" r="0" t="0"/>
            <wp:docPr descr="" title="" id="56" name="Picture"/>
            <a:graphic>
              <a:graphicData uri="http://schemas.openxmlformats.org/drawingml/2006/picture">
                <pic:pic>
                  <pic:nvPicPr>
                    <pic:cNvPr descr="genomic_med_prs_student_guide_files/figure-docx//1QxPej8YIbgsToOITRYKLxmGScjo0Eu5ldiKEE-lXvF0_g35f43ab35e5_0_0.png" id="57" name="Picture"/>
                    <pic:cNvPicPr>
                      <a:picLocks noChangeArrowheads="1" noChangeAspect="1"/>
                    </pic:cNvPicPr>
                  </pic:nvPicPr>
                  <pic:blipFill>
                    <a:blip r:embed="rId5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Return to the data</w:t>
      </w:r>
      <w:r>
        <w:t xml:space="preserve"> </w:t>
      </w:r>
      <w:hyperlink r:id="rId31">
        <w:r>
          <w:rPr>
            <w:rStyle w:val="Hyperlink"/>
          </w:rPr>
          <w:t xml:space="preserve">here</w:t>
        </w:r>
      </w:hyperlink>
      <w:r>
        <w:t xml:space="preserve">. Copy this data into the top part of the PRS calculator website.</w:t>
      </w:r>
    </w:p>
    <w:p>
      <w:pPr>
        <w:pStyle w:val="BodyText"/>
      </w:pPr>
      <w:r>
        <w:drawing>
          <wp:inline>
            <wp:extent cx="4800600" cy="2700337"/>
            <wp:effectExtent b="0" l="0" r="0" t="0"/>
            <wp:docPr descr="" title="" id="59" name="Picture"/>
            <a:graphic>
              <a:graphicData uri="http://schemas.openxmlformats.org/drawingml/2006/picture">
                <pic:pic>
                  <pic:nvPicPr>
                    <pic:cNvPr descr="genomic_med_prs_student_guide_files/figure-docx//1QxPej8YIbgsToOITRYKLxmGScjo0Eu5ldiKEE-lXvF0_g35f4636d8f5_0_57.png" id="60" name="Picture"/>
                    <pic:cNvPicPr>
                      <a:picLocks noChangeArrowheads="1" noChangeAspect="1"/>
                    </pic:cNvPicPr>
                  </pic:nvPicPr>
                  <pic:blipFill>
                    <a:blip r:embed="rId58"/>
                    <a:stretch>
                      <a:fillRect/>
                    </a:stretch>
                  </pic:blipFill>
                  <pic:spPr bwMode="auto">
                    <a:xfrm>
                      <a:off x="0" y="0"/>
                      <a:ext cx="4800600" cy="2700337"/>
                    </a:xfrm>
                    <a:prstGeom prst="rect">
                      <a:avLst/>
                    </a:prstGeom>
                    <a:noFill/>
                    <a:ln w="9525">
                      <a:noFill/>
                      <a:headEnd/>
                      <a:tailEnd/>
                    </a:ln>
                  </pic:spPr>
                </pic:pic>
              </a:graphicData>
            </a:graphic>
          </wp:inline>
        </w:drawing>
      </w:r>
    </w:p>
    <w:bookmarkEnd w:id="61"/>
    <w:bookmarkStart w:id="70" w:name="selecting-the-study"/>
    <w:p>
      <w:pPr>
        <w:pStyle w:val="Heading3"/>
      </w:pPr>
      <w:r>
        <w:t xml:space="preserve">Selecting the Study</w:t>
      </w:r>
    </w:p>
    <w:p>
      <w:pPr>
        <w:pStyle w:val="FirstParagraph"/>
      </w:pPr>
      <w:r>
        <w:t xml:space="preserve">Next, scroll down to</w:t>
      </w:r>
      <w:r>
        <w:t xml:space="preserve"> </w:t>
      </w:r>
      <w:r>
        <w:t xml:space="preserve">“</w:t>
      </w:r>
      <w:r>
        <w:t xml:space="preserve">GWAS Summary Statistics</w:t>
      </w:r>
      <w:r>
        <w:t xml:space="preserve">”</w:t>
      </w:r>
      <w:r>
        <w:t xml:space="preserve">. For item #1,</w:t>
      </w:r>
      <w:r>
        <w:t xml:space="preserve"> </w:t>
      </w:r>
      <w:r>
        <w:t xml:space="preserve">“</w:t>
      </w:r>
      <w:r>
        <w:t xml:space="preserve">Select Disease(s) or Trait(s) of Interest</w:t>
      </w:r>
      <w:r>
        <w:t xml:space="preserve">”</w:t>
      </w:r>
      <w:r>
        <w:t xml:space="preserve">, type in</w:t>
      </w:r>
      <w:r>
        <w:t xml:space="preserve"> </w:t>
      </w:r>
      <w:r>
        <w:t xml:space="preserve">“</w:t>
      </w:r>
      <w:r>
        <w:t xml:space="preserve">prostate carcinoma</w:t>
      </w:r>
      <w:r>
        <w:t xml:space="preserve">”</w:t>
      </w:r>
      <w:r>
        <w:t xml:space="preserve"> </w:t>
      </w:r>
      <w:r>
        <w:t xml:space="preserve">and select the checkbox. You might need to type slowly as the dropdown list has a lot of options! Then, click on</w:t>
      </w:r>
      <w:r>
        <w:t xml:space="preserve"> </w:t>
      </w:r>
      <w:r>
        <w:t xml:space="preserve">“</w:t>
      </w:r>
      <w:r>
        <w:t xml:space="preserve">Apply Filters</w:t>
      </w:r>
      <w:r>
        <w:t xml:space="preserve">”</w:t>
      </w:r>
      <w:r>
        <w:t xml:space="preserve"> </w:t>
      </w:r>
      <w:r>
        <w:t xml:space="preserve">to update the studies that can be used to calculate the PRS.</w:t>
      </w:r>
    </w:p>
    <w:p>
      <w:pPr>
        <w:pStyle w:val="BodyText"/>
      </w:pPr>
      <w:r>
        <w:drawing>
          <wp:inline>
            <wp:extent cx="4800600" cy="2700337"/>
            <wp:effectExtent b="0" l="0" r="0" t="0"/>
            <wp:docPr descr="" title="" id="63" name="Picture"/>
            <a:graphic>
              <a:graphicData uri="http://schemas.openxmlformats.org/drawingml/2006/picture">
                <pic:pic>
                  <pic:nvPicPr>
                    <pic:cNvPr descr="genomic_med_prs_student_guide_files/figure-docx//1QxPej8YIbgsToOITRYKLxmGScjo0Eu5ldiKEE-lXvF0_g35f4636d8f5_0_63.png" id="64" name="Picture"/>
                    <pic:cNvPicPr>
                      <a:picLocks noChangeArrowheads="1" noChangeAspect="1"/>
                    </pic:cNvPicPr>
                  </pic:nvPicPr>
                  <pic:blipFill>
                    <a:blip r:embed="rId6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Under</w:t>
      </w:r>
      <w:r>
        <w:t xml:space="preserve"> </w:t>
      </w:r>
      <w:r>
        <w:t xml:space="preserve">“</w:t>
      </w:r>
      <w:r>
        <w:t xml:space="preserve">Select from Filtered Studies</w:t>
      </w:r>
      <w:r>
        <w:t xml:space="preserve">”</w:t>
      </w:r>
      <w:r>
        <w:t xml:space="preserve">, type in the study number,</w:t>
      </w:r>
      <w:r>
        <w:t xml:space="preserve"> </w:t>
      </w:r>
      <w:r>
        <w:t xml:space="preserve">“</w:t>
      </w:r>
      <w:r>
        <w:t xml:space="preserve">GCST011047</w:t>
      </w:r>
      <w:r>
        <w:t xml:space="preserve">”</w:t>
      </w:r>
      <w:r>
        <w:t xml:space="preserve">, or find it from the dropdown menu. You will also see the name of the study,</w:t>
      </w:r>
      <w:r>
        <w:t xml:space="preserve"> </w:t>
      </w:r>
      <w:r>
        <w:rPr>
          <w:i/>
          <w:iCs/>
        </w:rPr>
        <w:t xml:space="preserve">Conti et al. 2021</w:t>
      </w:r>
      <w:r>
        <w:t xml:space="preserve">.</w:t>
      </w:r>
    </w:p>
    <w:p>
      <w:pPr>
        <w:pStyle w:val="BodyText"/>
      </w:pPr>
      <w:r>
        <w:drawing>
          <wp:inline>
            <wp:extent cx="4800600" cy="2700337"/>
            <wp:effectExtent b="0" l="0" r="0" t="0"/>
            <wp:docPr descr="" title="" id="66" name="Picture"/>
            <a:graphic>
              <a:graphicData uri="http://schemas.openxmlformats.org/drawingml/2006/picture">
                <pic:pic>
                  <pic:nvPicPr>
                    <pic:cNvPr descr="genomic_med_prs_student_guide_files/figure-docx//1QxPej8YIbgsToOITRYKLxmGScjo0Eu5ldiKEE-lXvF0_g35f4636d8f5_0_70.png" id="67" name="Picture"/>
                    <pic:cNvPicPr>
                      <a:picLocks noChangeArrowheads="1" noChangeAspect="1"/>
                    </pic:cNvPicPr>
                  </pic:nvPicPr>
                  <pic:blipFill>
                    <a:blip r:embed="rId65"/>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8" name="Picture"/>
                  <a:graphic>
                    <a:graphicData uri="http://schemas.openxmlformats.org/drawingml/2006/picture">
                      <pic:pic>
                        <pic:nvPicPr>
                          <pic:cNvPr descr="/opt/quarto/share/formats/docx/tip.png" id="69"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Why a Specific Research Study?</w:t>
            </w:r>
          </w:p>
        </w:tc>
      </w:tr>
      <w:tr>
        <w:trPr>
          <w:cantSplit/>
        </w:trPr>
        <w:tc>
          <w:tcPr>
            <w:tcMar>
              <w:top w:w="108" w:type="dxa"/>
              <w:bottom w:w="108" w:type="dxa"/>
            </w:tcMar>
          </w:tcPr>
          <w:p>
            <w:pPr>
              <w:pStyle w:val="BodyText"/>
            </w:pPr>
            <w:pPr>
              <w:spacing w:before="16"/>
            </w:pPr>
            <w:r>
              <w:t xml:space="preserve">In order to be accurate, PRS scores must be calculated based on the right variants. Variants should be collected from the same ancestral population as the patient. This is because some alleles are more rare in specific human ancestries and can confer different amount of risk / protection.</w:t>
            </w:r>
          </w:p>
          <w:p>
            <w:pPr>
              <w:pStyle w:val="BodyText"/>
            </w:pPr>
            <w:pPr>
              <w:spacing w:after="16"/>
            </w:pPr>
            <w:r>
              <w:t xml:space="preserve">Mr. J’s variant data was carefully collected based on the variants identified in the</w:t>
            </w:r>
            <w:r>
              <w:t xml:space="preserve"> </w:t>
            </w:r>
            <w:r>
              <w:rPr>
                <w:i/>
                <w:iCs/>
              </w:rPr>
              <w:t xml:space="preserve">Conti</w:t>
            </w:r>
            <w:r>
              <w:t xml:space="preserve"> </w:t>
            </w:r>
            <w:r>
              <w:t xml:space="preserve">study (GCST011047).</w:t>
            </w:r>
          </w:p>
        </w:tc>
      </w:tr>
    </w:tbl>
    <w:bookmarkEnd w:id="70"/>
    <w:bookmarkStart w:id="76" w:name="selecting-the-population"/>
    <w:p>
      <w:pPr>
        <w:pStyle w:val="Heading3"/>
      </w:pPr>
      <w:r>
        <w:t xml:space="preserve">Selecting the Population</w:t>
      </w:r>
    </w:p>
    <w:p>
      <w:pPr>
        <w:pStyle w:val="FirstParagraph"/>
      </w:pPr>
      <w:r>
        <w:t xml:space="preserve">Select</w:t>
      </w:r>
      <w:r>
        <w:t xml:space="preserve"> </w:t>
      </w:r>
      <w:r>
        <w:t xml:space="preserve">“</w:t>
      </w:r>
      <w:r>
        <w:t xml:space="preserve">African</w:t>
      </w:r>
      <w:r>
        <w:t xml:space="preserve">”</w:t>
      </w:r>
      <w:r>
        <w:t xml:space="preserve"> </w:t>
      </w:r>
      <w:r>
        <w:t xml:space="preserve">as the</w:t>
      </w:r>
      <w:r>
        <w:t xml:space="preserve"> </w:t>
      </w:r>
      <w:r>
        <w:t xml:space="preserve">“</w:t>
      </w:r>
      <w:r>
        <w:t xml:space="preserve">Preferred Super Population</w:t>
      </w:r>
      <w:r>
        <w:t xml:space="preserve">”</w:t>
      </w:r>
      <w:r>
        <w:t xml:space="preserve"> </w:t>
      </w:r>
      <w:r>
        <w:t xml:space="preserve">and</w:t>
      </w:r>
      <w:r>
        <w:t xml:space="preserve"> </w:t>
      </w:r>
      <w:r>
        <w:t xml:space="preserve">“</w:t>
      </w:r>
      <w:r>
        <w:t xml:space="preserve">1000 Genomes - AFR population</w:t>
      </w:r>
      <w:r>
        <w:t xml:space="preserve">”</w:t>
      </w:r>
      <w:r>
        <w:t xml:space="preserve"> </w:t>
      </w:r>
      <w:r>
        <w:t xml:space="preserve">under</w:t>
      </w:r>
      <w:r>
        <w:t xml:space="preserve"> </w:t>
      </w:r>
      <w:r>
        <w:t xml:space="preserve">“</w:t>
      </w:r>
      <w:r>
        <w:t xml:space="preserve">MAF Population</w:t>
      </w:r>
      <w:r>
        <w:t xml:space="preserve">”</w:t>
      </w:r>
      <w:r>
        <w:t xml:space="preserve">.</w:t>
      </w:r>
    </w:p>
    <w:p>
      <w:pPr>
        <w:pStyle w:val="BodyText"/>
      </w:pPr>
      <w:r>
        <w:drawing>
          <wp:inline>
            <wp:extent cx="4800600" cy="2700337"/>
            <wp:effectExtent b="0" l="0" r="0" t="0"/>
            <wp:docPr descr="" title="" id="71" name="Picture"/>
            <a:graphic>
              <a:graphicData uri="http://schemas.openxmlformats.org/drawingml/2006/picture">
                <pic:pic>
                  <pic:nvPicPr>
                    <pic:cNvPr descr="genomic_med_prs_student_guide_files/figure-docx//1QxPej8YIbgsToOITRYKLxmGScjo0Eu5ldiKEE-lXvF0_g35f4636d8f5_0_70.png" id="72" name="Picture"/>
                    <pic:cNvPicPr>
                      <a:picLocks noChangeArrowheads="1" noChangeAspect="1"/>
                    </pic:cNvPicPr>
                  </pic:nvPicPr>
                  <pic:blipFill>
                    <a:blip r:embed="rId6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click</w:t>
      </w:r>
      <w:r>
        <w:t xml:space="preserve"> </w:t>
      </w:r>
      <w:r>
        <w:t xml:space="preserve">“</w:t>
      </w:r>
      <w:r>
        <w:t xml:space="preserve">Calculate Risk Scores</w:t>
      </w:r>
      <w:r>
        <w:t xml:space="preserve">”</w:t>
      </w:r>
      <w:r>
        <w:t xml:space="preserve">.</w:t>
      </w:r>
    </w:p>
    <w:p>
      <w:pPr>
        <w:pStyle w:val="BodyText"/>
      </w:pPr>
      <w:r>
        <w:drawing>
          <wp:inline>
            <wp:extent cx="4800600" cy="2700337"/>
            <wp:effectExtent b="0" l="0" r="0" t="0"/>
            <wp:docPr descr="" title="" id="74" name="Picture"/>
            <a:graphic>
              <a:graphicData uri="http://schemas.openxmlformats.org/drawingml/2006/picture">
                <pic:pic>
                  <pic:nvPicPr>
                    <pic:cNvPr descr="genomic_med_prs_student_guide_files/figure-docx//1QxPej8YIbgsToOITRYKLxmGScjo0Eu5ldiKEE-lXvF0_g35f4636d8f5_0_84.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Start w:id="84" w:name="interpreting-the-score"/>
    <w:p>
      <w:pPr>
        <w:pStyle w:val="Heading3"/>
      </w:pPr>
      <w:r>
        <w:t xml:space="preserve">Interpreting the Score</w:t>
      </w:r>
    </w:p>
    <w:p>
      <w:pPr>
        <w:pStyle w:val="FirstParagraph"/>
      </w:pPr>
      <w:r>
        <w:t xml:space="preserve">The calculated score for this study will appear in the box at the bottom. You will have to scroll over.</w:t>
      </w:r>
    </w:p>
    <w:p>
      <w:pPr>
        <w:pStyle w:val="BodyText"/>
      </w:pPr>
      <w:r>
        <w:drawing>
          <wp:inline>
            <wp:extent cx="4800600" cy="2700337"/>
            <wp:effectExtent b="0" l="0" r="0" t="0"/>
            <wp:docPr descr="" title="" id="77" name="Picture"/>
            <a:graphic>
              <a:graphicData uri="http://schemas.openxmlformats.org/drawingml/2006/picture">
                <pic:pic>
                  <pic:nvPicPr>
                    <pic:cNvPr descr="genomic_med_prs_student_guide_files/figure-docx//1QxPej8YIbgsToOITRYKLxmGScjo0Eu5ldiKEE-lXvF0_g35f4636d8f5_0_84.png" id="78"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9" name="Picture"/>
                  <a:graphic>
                    <a:graphicData uri="http://schemas.openxmlformats.org/drawingml/2006/picture">
                      <pic:pic>
                        <pic:nvPicPr>
                          <pic:cNvPr descr="/opt/quarto/share/formats/docx/tip.png" id="80"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Viewing Results</w:t>
            </w:r>
          </w:p>
        </w:tc>
      </w:tr>
      <w:tr>
        <w:trPr>
          <w:cantSplit/>
        </w:trPr>
        <w:tc>
          <w:tcPr>
            <w:tcMar>
              <w:top w:w="108" w:type="dxa"/>
              <w:bottom w:w="108" w:type="dxa"/>
            </w:tcMar>
          </w:tcPr>
          <w:p>
            <w:pPr>
              <w:pStyle w:val="BodyText"/>
            </w:pPr>
            <w:pPr>
              <w:spacing w:before="16" w:after="16"/>
            </w:pPr>
            <w:r>
              <w:t xml:space="preserve">It might be easier to view the results if you (1) download the results and (2) open the results in a tabular data program like Microsoft Excel or Google Sheets.</w:t>
            </w:r>
          </w:p>
        </w:tc>
      </w:tr>
    </w:tbl>
    <w:p>
      <w:pPr>
        <w:pStyle w:val="BodyText"/>
      </w:pPr>
      <w:r>
        <w:t xml:space="preserve">Let’s review a few important values in the results.</w:t>
      </w:r>
    </w:p>
    <w:p>
      <w:pPr>
        <w:pStyle w:val="BodyText"/>
      </w:pPr>
      <w:r>
        <w:drawing>
          <wp:inline>
            <wp:extent cx="4800600" cy="2700337"/>
            <wp:effectExtent b="0" l="0" r="0" t="0"/>
            <wp:docPr descr="" title="" id="82" name="Picture"/>
            <a:graphic>
              <a:graphicData uri="http://schemas.openxmlformats.org/drawingml/2006/picture">
                <pic:pic>
                  <pic:nvPicPr>
                    <pic:cNvPr descr="genomic_med_prs_student_guide_files/figure-docx//1QxPej8YIbgsToOITRYKLxmGScjo0Eu5ldiKEE-lXvF0_g35f4636d8f5_0_99.png" id="83" name="Picture"/>
                    <pic:cNvPicPr>
                      <a:picLocks noChangeArrowheads="1" noChangeAspect="1"/>
                    </pic:cNvPicPr>
                  </pic:nvPicPr>
                  <pic:blipFill>
                    <a:blip r:embed="rId81"/>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3"/>
        </w:numPr>
      </w:pPr>
      <w:r>
        <w:rPr>
          <w:b/>
          <w:bCs/>
        </w:rPr>
        <w:t xml:space="preserve">SNP Overlap</w:t>
      </w:r>
      <w:r>
        <w:t xml:space="preserve">: This tells us how many variants in the patient’s data were also present in the study. 19 of Mr. J’s variants matched the</w:t>
      </w:r>
      <w:r>
        <w:t xml:space="preserve"> </w:t>
      </w:r>
      <w:r>
        <w:rPr>
          <w:i/>
          <w:iCs/>
        </w:rPr>
        <w:t xml:space="preserve">Conti</w:t>
      </w:r>
      <w:r>
        <w:t xml:space="preserve"> </w:t>
      </w:r>
      <w:r>
        <w:t xml:space="preserve">study.</w:t>
      </w:r>
    </w:p>
    <w:p>
      <w:pPr>
        <w:pStyle w:val="Compact"/>
        <w:numPr>
          <w:ilvl w:val="0"/>
          <w:numId w:val="1003"/>
        </w:numPr>
      </w:pPr>
      <w:r>
        <w:rPr>
          <w:b/>
          <w:bCs/>
        </w:rPr>
        <w:t xml:space="preserve">Included SNPs</w:t>
      </w:r>
      <w:r>
        <w:t xml:space="preserve">: This tells us how many variants were in the study overall. Mr. J’s data was comprehensive and included all of the 19 variants described in the</w:t>
      </w:r>
      <w:r>
        <w:t xml:space="preserve"> </w:t>
      </w:r>
      <w:r>
        <w:rPr>
          <w:i/>
          <w:iCs/>
        </w:rPr>
        <w:t xml:space="preserve">Conti</w:t>
      </w:r>
      <w:r>
        <w:t xml:space="preserve"> </w:t>
      </w:r>
      <w:r>
        <w:t xml:space="preserve">study. We can feel confident that there is not a lot of missing data.</w:t>
      </w:r>
    </w:p>
    <w:p>
      <w:pPr>
        <w:pStyle w:val="Compact"/>
        <w:numPr>
          <w:ilvl w:val="0"/>
          <w:numId w:val="1003"/>
        </w:numPr>
      </w:pPr>
      <w:r>
        <w:rPr>
          <w:b/>
          <w:bCs/>
        </w:rPr>
        <w:t xml:space="preserve">Polygenic Risk Score</w:t>
      </w:r>
      <w:r>
        <w:t xml:space="preserve">: Risk estimate based on all of Mr. J’s variants. Because the score is greater than 1, generally that means some increased risk.</w:t>
      </w:r>
    </w:p>
    <w:p>
      <w:pPr>
        <w:pStyle w:val="Compact"/>
        <w:numPr>
          <w:ilvl w:val="0"/>
          <w:numId w:val="1003"/>
        </w:numPr>
      </w:pPr>
      <w:r>
        <w:rPr>
          <w:b/>
          <w:bCs/>
        </w:rPr>
        <w:t xml:space="preserve">Percentile</w:t>
      </w:r>
      <w:r>
        <w:t xml:space="preserve">: Risk described relative to others in the population. A percentile of 100 means that Mr. J has</w:t>
      </w:r>
      <w:r>
        <w:t xml:space="preserve"> </w:t>
      </w:r>
      <w:r>
        <w:rPr>
          <w:i/>
          <w:iCs/>
        </w:rPr>
        <w:t xml:space="preserve">greater risk</w:t>
      </w:r>
      <w:r>
        <w:t xml:space="preserve"> </w:t>
      </w:r>
      <w:r>
        <w:t xml:space="preserve">than almost everyone else! He has more of the disease causing variants compared to others in the population.</w:t>
      </w:r>
    </w:p>
    <w:bookmarkEnd w:id="84"/>
    <w:bookmarkEnd w:id="85"/>
    <w:bookmarkStart w:id="89"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86" name="Picture"/>
                  <a:graphic>
                    <a:graphicData uri="http://schemas.openxmlformats.org/drawingml/2006/picture">
                      <pic:pic>
                        <pic:nvPicPr>
                          <pic:cNvPr descr="/opt/quarto/share/formats/docx/note.png" id="87" name="Picture"/>
                          <pic:cNvPicPr>
                            <a:picLocks noChangeArrowheads="1" noChangeAspect="1"/>
                          </pic:cNvPicPr>
                        </pic:nvPicPr>
                        <pic:blipFill>
                          <a:blip r:embed="rId5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Go to the</w:t>
            </w:r>
            <w:r>
              <w:t xml:space="preserve"> </w:t>
            </w:r>
            <w:hyperlink r:id="rId88">
              <w:r>
                <w:rPr>
                  <w:rStyle w:val="Hyperlink"/>
                  <w:i/>
                  <w:iCs/>
                </w:rPr>
                <w:t xml:space="preserve">Conti</w:t>
              </w:r>
              <w:r>
                <w:rPr>
                  <w:rStyle w:val="Hyperlink"/>
                </w:rPr>
                <w:t xml:space="preserve"> </w:t>
              </w:r>
              <w:r>
                <w:rPr>
                  <w:rStyle w:val="Hyperlink"/>
                </w:rPr>
                <w:t xml:space="preserve">(GCST011047)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ancestries are included?</w:t>
            </w:r>
          </w:p>
          <w:p>
            <w:pPr>
              <w:numPr>
                <w:ilvl w:val="0"/>
                <w:numId w:val="1004"/>
              </w:numPr>
            </w:pPr>
            <w:r>
              <w:t xml:space="preserve">How many people were used to identify these variants in the</w:t>
            </w:r>
            <w:r>
              <w:t xml:space="preserve"> </w:t>
            </w:r>
            <w:r>
              <w:rPr>
                <w:i/>
                <w:iCs/>
              </w:rPr>
              <w:t xml:space="preserve">Conti</w:t>
            </w:r>
            <w:r>
              <w:t xml:space="preserve"> </w:t>
            </w:r>
            <w:r>
              <w:t xml:space="preserve">study? Hint: add up the cases (has cancer) and controls (no cancer) under</w:t>
            </w:r>
            <w:r>
              <w:t xml:space="preserve"> </w:t>
            </w:r>
            <w:r>
              <w:t xml:space="preserve">“</w:t>
            </w:r>
            <w:r>
              <w:t xml:space="preserve">Discovery sample description</w:t>
            </w:r>
            <w:r>
              <w:t xml:space="preserve">”</w:t>
            </w:r>
            <w:r>
              <w:t xml:space="preserve">.</w:t>
            </w:r>
          </w:p>
        </w:tc>
      </w:tr>
    </w:tbl>
    <w:bookmarkEnd w:id="89"/>
    <w:bookmarkStart w:id="107" w:name="part-3"/>
    <w:p>
      <w:pPr>
        <w:pStyle w:val="Heading2"/>
      </w:pPr>
      <w:r>
        <w:t xml:space="preserve">Part 3</w:t>
      </w:r>
    </w:p>
    <w:p>
      <w:pPr>
        <w:pStyle w:val="FirstParagraph"/>
      </w:pPr>
      <w:r>
        <w:t xml:space="preserve">In Part 3, we’ll compare the previous PRS score to one calculated using a different study.</w:t>
      </w:r>
    </w:p>
    <w:bookmarkStart w:id="96" w:name="adding-a-study"/>
    <w:p>
      <w:pPr>
        <w:pStyle w:val="Heading3"/>
      </w:pPr>
      <w:r>
        <w:t xml:space="preserve">Adding a Study</w:t>
      </w:r>
    </w:p>
    <w:p>
      <w:pPr>
        <w:pStyle w:val="FirstParagraph"/>
      </w:pPr>
      <w:r>
        <w:t xml:space="preserve">Scroll back up to the</w:t>
      </w:r>
      <w:r>
        <w:t xml:space="preserve"> </w:t>
      </w:r>
      <w:r>
        <w:t xml:space="preserve">“</w:t>
      </w:r>
      <w:r>
        <w:t xml:space="preserve">Select from Filtered Studies</w:t>
      </w:r>
      <w:r>
        <w:t xml:space="preserve">”</w:t>
      </w:r>
      <w:r>
        <w:t xml:space="preserve"> </w:t>
      </w:r>
      <w:r>
        <w:t xml:space="preserve">dropdown. Find Study</w:t>
      </w:r>
      <w:r>
        <w:t xml:space="preserve"> </w:t>
      </w:r>
      <w:r>
        <w:t xml:space="preserve">“</w:t>
      </w:r>
      <w:r>
        <w:t xml:space="preserve">GCST000152</w:t>
      </w:r>
      <w:r>
        <w:t xml:space="preserve">”</w:t>
      </w:r>
      <w:r>
        <w:t xml:space="preserve"> </w:t>
      </w:r>
      <w:r>
        <w:t xml:space="preserve">(</w:t>
      </w:r>
      <w:r>
        <w:rPr>
          <w:i/>
          <w:iCs/>
        </w:rPr>
        <w:t xml:space="preserve">Eeles et al. 2008</w:t>
      </w:r>
      <w:r>
        <w:t xml:space="preserve">) and check the box. The</w:t>
      </w:r>
      <w:r>
        <w:t xml:space="preserve"> </w:t>
      </w:r>
      <w:r>
        <w:rPr>
          <w:i/>
          <w:iCs/>
        </w:rPr>
        <w:t xml:space="preserve">Eeles</w:t>
      </w:r>
      <w:r>
        <w:t xml:space="preserve"> </w:t>
      </w:r>
      <w:r>
        <w:t xml:space="preserve">study has different variants compared to the</w:t>
      </w:r>
      <w:r>
        <w:t xml:space="preserve"> </w:t>
      </w:r>
      <w:r>
        <w:rPr>
          <w:i/>
          <w:iCs/>
        </w:rPr>
        <w:t xml:space="preserve">Conti</w:t>
      </w:r>
      <w:r>
        <w:t xml:space="preserve"> </w:t>
      </w:r>
      <w:r>
        <w:t xml:space="preserve">study.</w:t>
      </w:r>
    </w:p>
    <w:p>
      <w:pPr>
        <w:pStyle w:val="BodyText"/>
      </w:pPr>
      <w:r>
        <w:t xml:space="preserve">You can leave the previous study checked. Now there are two studies included.</w:t>
      </w:r>
    </w:p>
    <w:p>
      <w:pPr>
        <w:pStyle w:val="BodyText"/>
      </w:pPr>
      <w:r>
        <w:drawing>
          <wp:inline>
            <wp:extent cx="4800600" cy="2700337"/>
            <wp:effectExtent b="0" l="0" r="0" t="0"/>
            <wp:docPr descr="" title="" id="91" name="Picture"/>
            <a:graphic>
              <a:graphicData uri="http://schemas.openxmlformats.org/drawingml/2006/picture">
                <pic:pic>
                  <pic:nvPicPr>
                    <pic:cNvPr descr="genomic_med_prs_student_guide_files/figure-docx//1QxPej8YIbgsToOITRYKLxmGScjo0Eu5ldiKEE-lXvF0_g35f4636d8f5_0_119.png" id="92" name="Picture"/>
                    <pic:cNvPicPr>
                      <a:picLocks noChangeArrowheads="1" noChangeAspect="1"/>
                    </pic:cNvPicPr>
                  </pic:nvPicPr>
                  <pic:blipFill>
                    <a:blip r:embed="rId9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 on</w:t>
      </w:r>
      <w:r>
        <w:t xml:space="preserve"> </w:t>
      </w:r>
      <w:r>
        <w:t xml:space="preserve">“</w:t>
      </w:r>
      <w:r>
        <w:t xml:space="preserve">Calculate Risk Scores</w:t>
      </w:r>
      <w:r>
        <w:t xml:space="preserve">”</w:t>
      </w:r>
      <w:r>
        <w:t xml:space="preserve"> </w:t>
      </w:r>
      <w:r>
        <w:t xml:space="preserve">again. This time you should have two lines of results.</w:t>
      </w:r>
    </w:p>
    <w:p>
      <w:pPr>
        <w:pStyle w:val="BodyText"/>
      </w:pPr>
      <w:r>
        <w:drawing>
          <wp:inline>
            <wp:extent cx="4800600" cy="2700337"/>
            <wp:effectExtent b="0" l="0" r="0" t="0"/>
            <wp:docPr descr="" title="" id="94" name="Picture"/>
            <a:graphic>
              <a:graphicData uri="http://schemas.openxmlformats.org/drawingml/2006/picture">
                <pic:pic>
                  <pic:nvPicPr>
                    <pic:cNvPr descr="genomic_med_prs_student_guide_files/figure-docx//1QxPej8YIbgsToOITRYKLxmGScjo0Eu5ldiKEE-lXvF0_g35f4636d8f5_0_127.png" id="95" name="Picture"/>
                    <pic:cNvPicPr>
                      <a:picLocks noChangeArrowheads="1" noChangeAspect="1"/>
                    </pic:cNvPicPr>
                  </pic:nvPicPr>
                  <pic:blipFill>
                    <a:blip r:embed="rId93"/>
                    <a:stretch>
                      <a:fillRect/>
                    </a:stretch>
                  </pic:blipFill>
                  <pic:spPr bwMode="auto">
                    <a:xfrm>
                      <a:off x="0" y="0"/>
                      <a:ext cx="4800600" cy="2700337"/>
                    </a:xfrm>
                    <a:prstGeom prst="rect">
                      <a:avLst/>
                    </a:prstGeom>
                    <a:noFill/>
                    <a:ln w="9525">
                      <a:noFill/>
                      <a:headEnd/>
                      <a:tailEnd/>
                    </a:ln>
                  </pic:spPr>
                </pic:pic>
              </a:graphicData>
            </a:graphic>
          </wp:inline>
        </w:drawing>
      </w:r>
    </w:p>
    <w:bookmarkEnd w:id="96"/>
    <w:bookmarkStart w:id="106" w:name="comparing-results"/>
    <w:p>
      <w:pPr>
        <w:pStyle w:val="Heading3"/>
      </w:pPr>
      <w:r>
        <w:t xml:space="preserve">Comparing Results</w:t>
      </w:r>
    </w:p>
    <w:p>
      <w:pPr>
        <w:pStyle w:val="FirstParagraph"/>
      </w:pPr>
      <w:r>
        <w:t xml:space="preserve">Let’s look at the results.</w:t>
      </w:r>
    </w:p>
    <w:p>
      <w:pPr>
        <w:pStyle w:val="BodyText"/>
      </w:pPr>
      <w:r>
        <w:drawing>
          <wp:inline>
            <wp:extent cx="4800600" cy="2700337"/>
            <wp:effectExtent b="0" l="0" r="0" t="0"/>
            <wp:docPr descr="" title="" id="98" name="Picture"/>
            <a:graphic>
              <a:graphicData uri="http://schemas.openxmlformats.org/drawingml/2006/picture">
                <pic:pic>
                  <pic:nvPicPr>
                    <pic:cNvPr descr="genomic_med_prs_student_guide_files/figure-docx//1QxPej8YIbgsToOITRYKLxmGScjo0Eu5ldiKEE-lXvF0_g35f4636d8f5_0_134.png" id="99" name="Picture"/>
                    <pic:cNvPicPr>
                      <a:picLocks noChangeArrowheads="1" noChangeAspect="1"/>
                    </pic:cNvPicPr>
                  </pic:nvPicPr>
                  <pic:blipFill>
                    <a:blip r:embed="rId97"/>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5"/>
        </w:numPr>
      </w:pPr>
      <w:r>
        <w:rPr>
          <w:b/>
          <w:bCs/>
        </w:rPr>
        <w:t xml:space="preserve">SNP Overlap</w:t>
      </w:r>
      <w:r>
        <w:t xml:space="preserve">: 11 of Mr. J’s variants matched the</w:t>
      </w:r>
      <w:r>
        <w:t xml:space="preserve"> </w:t>
      </w:r>
      <w:r>
        <w:rPr>
          <w:i/>
          <w:iCs/>
        </w:rPr>
        <w:t xml:space="preserve">Eeles</w:t>
      </w:r>
      <w:r>
        <w:t xml:space="preserve"> </w:t>
      </w:r>
      <w:r>
        <w:t xml:space="preserve">(GCST000152) study.</w:t>
      </w:r>
    </w:p>
    <w:p>
      <w:pPr>
        <w:pStyle w:val="Compact"/>
        <w:numPr>
          <w:ilvl w:val="0"/>
          <w:numId w:val="1005"/>
        </w:numPr>
      </w:pPr>
      <w:r>
        <w:rPr>
          <w:b/>
          <w:bCs/>
        </w:rPr>
        <w:t xml:space="preserve">Included SNPs</w:t>
      </w:r>
      <w:r>
        <w:t xml:space="preserve">: Mr. J’s data had all of the 11 variants described in the</w:t>
      </w:r>
      <w:r>
        <w:t xml:space="preserve"> </w:t>
      </w:r>
      <w:r>
        <w:rPr>
          <w:i/>
          <w:iCs/>
        </w:rPr>
        <w:t xml:space="preserve">Eeles</w:t>
      </w:r>
      <w:r>
        <w:t xml:space="preserve"> </w:t>
      </w:r>
      <w:r>
        <w:t xml:space="preserve">study.</w:t>
      </w:r>
    </w:p>
    <w:p>
      <w:pPr>
        <w:pStyle w:val="Compact"/>
        <w:numPr>
          <w:ilvl w:val="0"/>
          <w:numId w:val="1005"/>
        </w:numPr>
      </w:pPr>
      <w:r>
        <w:rPr>
          <w:b/>
          <w:bCs/>
        </w:rPr>
        <w:t xml:space="preserve">Polygenic Risk Score</w:t>
      </w:r>
      <w:r>
        <w:t xml:space="preserve">: The score is greater than 1, generally that means some increased risk.</w:t>
      </w:r>
    </w:p>
    <w:p>
      <w:pPr>
        <w:pStyle w:val="Compact"/>
        <w:numPr>
          <w:ilvl w:val="0"/>
          <w:numId w:val="1005"/>
        </w:numPr>
      </w:pPr>
      <w:r>
        <w:rPr>
          <w:b/>
          <w:bCs/>
        </w:rPr>
        <w:t xml:space="preserve">Percentile</w:t>
      </w:r>
      <w:r>
        <w:t xml:space="preserve">: Risk described relative to others in the population. A percentile of 82 means that Mr. J has</w:t>
      </w:r>
      <w:r>
        <w:t xml:space="preserve"> </w:t>
      </w:r>
      <w:r>
        <w:rPr>
          <w:i/>
          <w:iCs/>
        </w:rPr>
        <w:t xml:space="preserve">greater risk</w:t>
      </w:r>
      <w:r>
        <w:t xml:space="preserve"> </w:t>
      </w:r>
      <w:r>
        <w:t xml:space="preserve">than 82% of other people.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00" name="Picture"/>
                  <a:graphic>
                    <a:graphicData uri="http://schemas.openxmlformats.org/drawingml/2006/picture">
                      <pic:pic>
                        <pic:nvPicPr>
                          <pic:cNvPr descr="/opt/quarto/share/formats/docx/tip.png" id="101"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Capturing More Variants</w:t>
            </w:r>
          </w:p>
        </w:tc>
      </w:tr>
      <w:tr>
        <w:trPr>
          <w:cantSplit/>
        </w:trPr>
        <w:tc>
          <w:tcPr>
            <w:tcMar>
              <w:top w:w="108" w:type="dxa"/>
              <w:bottom w:w="108" w:type="dxa"/>
            </w:tcMar>
          </w:tcPr>
          <w:p>
            <w:pPr>
              <w:pStyle w:val="BodyText"/>
            </w:pPr>
            <w:pPr>
              <w:spacing w:before="16"/>
            </w:pPr>
            <w:r>
              <w:t xml:space="preserve">A mismatch between the study population and the patient’s ancestry can create gaps in PRS analysis. Many early studies were performed on genomes of people of European ancestry. This means that more reliable data is present for people of European ancestry. In other words, their variants are better known. People of African or East Asian ancestry don’t always had variant data that is as comprehensive. This means it’s more likely to end up in the situation above, where we can’t reliably calculate PRS.</w:t>
            </w:r>
          </w:p>
          <w:p>
            <w:pPr>
              <w:pStyle w:val="BodyText"/>
            </w:pPr>
            <w:pPr>
              <w:spacing w:after="16"/>
            </w:pPr>
            <w:r>
              <w:t xml:space="preserve">Scientists realized recently that this was a problem. Programs like</w:t>
            </w:r>
            <w:r>
              <w:t xml:space="preserve"> </w:t>
            </w:r>
            <w:hyperlink r:id="rId102">
              <w:r>
                <w:rPr>
                  <w:rStyle w:val="Hyperlink"/>
                </w:rPr>
                <w:t xml:space="preserve">All of Us</w:t>
              </w:r>
            </w:hyperlink>
            <w:r>
              <w:t xml:space="preserve"> </w:t>
            </w:r>
            <w:r>
              <w:t xml:space="preserve">aim to collect better data on people from diverse backgrounds to improve PRS. Technology improvements have also made it more affordable to screen for more variants.</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3" name="Picture"/>
                  <a:graphic>
                    <a:graphicData uri="http://schemas.openxmlformats.org/drawingml/2006/picture">
                      <pic:pic>
                        <pic:nvPicPr>
                          <pic:cNvPr descr="/opt/quarto/share/formats/docx/note.png" id="104" name="Picture"/>
                          <pic:cNvPicPr>
                            <a:picLocks noChangeArrowheads="1" noChangeAspect="1"/>
                          </pic:cNvPicPr>
                        </pic:nvPicPr>
                        <pic:blipFill>
                          <a:blip r:embed="rId5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6"/>
              </w:numPr>
            </w:pPr>
            <w:r>
              <w:t xml:space="preserve">Go to the</w:t>
            </w:r>
            <w:r>
              <w:t xml:space="preserve"> </w:t>
            </w:r>
            <w:hyperlink r:id="rId105">
              <w:r>
                <w:rPr>
                  <w:rStyle w:val="Hyperlink"/>
                  <w:i/>
                  <w:iCs/>
                </w:rPr>
                <w:t xml:space="preserve">Eeles</w:t>
              </w:r>
              <w:r>
                <w:rPr>
                  <w:rStyle w:val="Hyperlink"/>
                </w:rPr>
                <w:t xml:space="preserve"> </w:t>
              </w:r>
              <w:r>
                <w:rPr>
                  <w:rStyle w:val="Hyperlink"/>
                </w:rPr>
                <w:t xml:space="preserve">(GCST000152)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ancestry is included?</w:t>
            </w:r>
          </w:p>
          <w:p>
            <w:pPr>
              <w:numPr>
                <w:ilvl w:val="0"/>
                <w:numId w:val="1006"/>
              </w:numPr>
            </w:pPr>
            <w:r>
              <w:t xml:space="preserve">Given that Mr. J has African ancestry, which study (</w:t>
            </w:r>
            <w:r>
              <w:rPr>
                <w:i/>
                <w:iCs/>
              </w:rPr>
              <w:t xml:space="preserve">Conti</w:t>
            </w:r>
            <w:r>
              <w:t xml:space="preserve"> </w:t>
            </w:r>
            <w:r>
              <w:t xml:space="preserve">or</w:t>
            </w:r>
            <w:r>
              <w:t xml:space="preserve"> </w:t>
            </w:r>
            <w:r>
              <w:rPr>
                <w:i/>
                <w:iCs/>
              </w:rPr>
              <w:t xml:space="preserve">Eeles</w:t>
            </w:r>
            <w:r>
              <w:t xml:space="preserve">) is a more appropriate match to assess his risk?</w:t>
            </w:r>
          </w:p>
          <w:p>
            <w:pPr>
              <w:numPr>
                <w:ilvl w:val="0"/>
                <w:numId w:val="1006"/>
              </w:numPr>
            </w:pPr>
            <w:r>
              <w:t xml:space="preserve">Imagine you were helping Mr. J’s providers craft a care plan. Based on Mr. J’s results, would you recommend more frequent screening? Why or why not?</w:t>
            </w:r>
          </w:p>
        </w:tc>
      </w:tr>
    </w:tbl>
    <w:bookmarkEnd w:id="106"/>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24" Target="media/rId24.png" /><Relationship Type="http://schemas.openxmlformats.org/officeDocument/2006/relationships/image" Id="rId55" Target="media/rId55.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8" Target="media/rId58.png" /><Relationship Type="http://schemas.openxmlformats.org/officeDocument/2006/relationships/image" Id="rId20" Target="media/rId20.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73" Target="media/rId73.png" /><Relationship Type="http://schemas.openxmlformats.org/officeDocument/2006/relationships/image" Id="rId81" Target="media/rId81.png" /><Relationship Type="http://schemas.openxmlformats.org/officeDocument/2006/relationships/hyperlink" Id="rId102" Target="https://allofus.nih.gov/" TargetMode="External" /><Relationship Type="http://schemas.openxmlformats.org/officeDocument/2006/relationships/hyperlink" Id="rId31" Target="https://genomicseducation.org/data/prs_ind_1.txt" TargetMode="External" /><Relationship Type="http://schemas.openxmlformats.org/officeDocument/2006/relationships/hyperlink" Id="rId105" Target="https://www.ebi.ac.uk/gwas/studies/GCST000152" TargetMode="External" /><Relationship Type="http://schemas.openxmlformats.org/officeDocument/2006/relationships/hyperlink" Id="rId88" Target="https://www.ebi.ac.uk/gwas/studies/GCST011047" TargetMode="External" /><Relationship Type="http://schemas.openxmlformats.org/officeDocument/2006/relationships/hyperlink" Id="rId35" Target="https://www.ebi.ac.uk/gwas/variants" TargetMode="External" /><Relationship Type="http://schemas.openxmlformats.org/officeDocument/2006/relationships/hyperlink" Id="rId42" Target="https://www.genome.gov/genetics-glossary/Intergenic-Regions#:~:text=Definition,Medical%20Genetics%20Branch" TargetMode="External" /><Relationship Type="http://schemas.openxmlformats.org/officeDocument/2006/relationships/hyperlink" Id="rId29" Target="https://www.ncbi.nlm.nih.gov/books/NBK470550/" TargetMode="External" /></Relationships>
</file>

<file path=word/_rels/footnotes.xml.rels><?xml version="1.0" encoding="UTF-8"?><Relationships xmlns="http://schemas.openxmlformats.org/package/2006/relationships"><Relationship Type="http://schemas.openxmlformats.org/officeDocument/2006/relationships/hyperlink" Id="rId102" Target="https://allofus.nih.gov/" TargetMode="External" /><Relationship Type="http://schemas.openxmlformats.org/officeDocument/2006/relationships/hyperlink" Id="rId31" Target="https://genomicseducation.org/data/prs_ind_1.txt" TargetMode="External" /><Relationship Type="http://schemas.openxmlformats.org/officeDocument/2006/relationships/hyperlink" Id="rId105" Target="https://www.ebi.ac.uk/gwas/studies/GCST000152" TargetMode="External" /><Relationship Type="http://schemas.openxmlformats.org/officeDocument/2006/relationships/hyperlink" Id="rId88" Target="https://www.ebi.ac.uk/gwas/studies/GCST011047" TargetMode="External" /><Relationship Type="http://schemas.openxmlformats.org/officeDocument/2006/relationships/hyperlink" Id="rId35" Target="https://www.ebi.ac.uk/gwas/variants" TargetMode="External" /><Relationship Type="http://schemas.openxmlformats.org/officeDocument/2006/relationships/hyperlink" Id="rId42" Target="https://www.genome.gov/genetics-glossary/Intergenic-Regions#:~:text=Definition,Medical%20Genetics%20Branch" TargetMode="External" /><Relationship Type="http://schemas.openxmlformats.org/officeDocument/2006/relationships/hyperlink" Id="rId29" Target="https://www.ncbi.nlm.nih.gov/books/NBK4705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Genomic Medicine and Polygenic Risk Scores</dc:title>
  <dc:creator/>
  <cp:keywords/>
  <dcterms:created xsi:type="dcterms:W3CDTF">2025-06-02T16:50:58Z</dcterms:created>
  <dcterms:modified xsi:type="dcterms:W3CDTF">2025-06-02T16:50:58Z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