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4.png" ContentType="image/png"/>
  <Override PartName="/word/media/rId54.png" ContentType="image/png"/>
  <Override PartName="/word/media/rId39.png" ContentType="image/png"/>
  <Override PartName="/word/media/rId36.png" ContentType="image/png"/>
  <Override PartName="/word/media/rId43.png" ContentType="image/png"/>
  <Override PartName="/word/media/rId4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and</w:t>
      </w:r>
      <w:r>
        <w:t xml:space="preserve"> </w:t>
      </w:r>
      <w:r>
        <w:t xml:space="preserve">Polygenic</w:t>
      </w:r>
      <w:r>
        <w:t xml:space="preserve"> </w:t>
      </w:r>
      <w:r>
        <w:t xml:space="preserve">Risk</w:t>
      </w:r>
      <w:r>
        <w:t xml:space="preserve"> </w:t>
      </w:r>
      <w:r>
        <w:t xml:space="preserve">Scores</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3"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https://www.ncbi.nlm.nih.gov/books/NBK470550/</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52"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opt/quarto/share/formats/docx/note.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pStyle w:val="Compact"/>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2"/>
    <w:bookmarkEnd w:id="53"/>
    <w:bookmarkStart w:id="58" w:name="part-2"/>
    <w:p>
      <w:pPr>
        <w:pStyle w:val="Heading2"/>
      </w:pPr>
      <w:r>
        <w:t xml:space="preserve">Part 2</w:t>
      </w:r>
    </w:p>
    <w:p>
      <w:pPr>
        <w:pStyle w:val="FirstParagraph"/>
      </w:pPr>
      <w:r>
        <w:t xml:space="preserve">In Part 2, we’ll calculate our first PRS score.</w:t>
      </w:r>
    </w:p>
    <w:bookmarkStart w:id="57" w:name="calculating-risk"/>
    <w:p>
      <w:pPr>
        <w:pStyle w:val="Heading3"/>
      </w:pPr>
      <w:r>
        <w:t xml:space="preserve">Calculating Risk</w:t>
      </w:r>
    </w:p>
    <w:p>
      <w:pPr>
        <w:pStyle w:val="FirstParagraph"/>
      </w:pPr>
      <w:r>
        <w:t xml:space="preserve">Go to https://prs.byu.edu/calculate_score.html - this is the website we’ll use to calculate a PRS for Mr. J’s data.</w:t>
      </w:r>
    </w:p>
    <w:p>
      <w:pPr>
        <w:pStyle w:val="BodyText"/>
      </w:pPr>
      <w:r>
        <w:drawing>
          <wp:inline>
            <wp:extent cx="4800600" cy="2700337"/>
            <wp:effectExtent b="0" l="0" r="0" t="0"/>
            <wp:docPr descr="" title="" id="55" name="Picture"/>
            <a:graphic>
              <a:graphicData uri="http://schemas.openxmlformats.org/drawingml/2006/picture">
                <pic:pic>
                  <pic:nvPicPr>
                    <pic:cNvPr descr="genomic_med_prs_student_guide_files/figure-docx//1QxPej8YIbgsToOITRYKLxmGScjo0Eu5ldiKEE-lXvF0_g35f43ab35e5_0_0.png" id="56" name="Picture"/>
                    <pic:cNvPicPr>
                      <a:picLocks noChangeArrowheads="1" noChangeAspect="1"/>
                    </pic:cNvPicPr>
                  </pic:nvPicPr>
                  <pic:blipFill>
                    <a:blip r:embed="rId5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 at</w:t>
      </w:r>
      <w:r>
        <w:t xml:space="preserve"> </w:t>
      </w:r>
      <w:hyperlink r:id="rId31">
        <w:r>
          <w:rPr>
            <w:rStyle w:val="Hyperlink"/>
          </w:rPr>
          <w:t xml:space="preserve">https://genomicseducation.org/data/prs_ind_1.txt</w:t>
        </w:r>
      </w:hyperlink>
      <w:r>
        <w:t xml:space="preserve">. Copy this data into the top part of the PRS calculator website.</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0" Target="media/rId20.png" /><Relationship Type="http://schemas.openxmlformats.org/officeDocument/2006/relationships/hyperlink" Id="rId31" Target="https://genomicseducation.org/data/prs_ind_1.txt"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31" Target="https://genomicseducation.org/data/prs_ind_1.txt"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and Polygenic Risk Scores</dc:title>
  <dc:creator/>
  <cp:keywords/>
  <dcterms:created xsi:type="dcterms:W3CDTF">2025-06-02T03:02:28Z</dcterms:created>
  <dcterms:modified xsi:type="dcterms:W3CDTF">2025-06-02T03:02:28Z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