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33.png" ContentType="image/png"/>
  <Override PartName="/word/media/rId26.png" ContentType="image/png"/>
  <Override PartName="/word/media/rId30.png" ContentType="image/png"/>
  <Override PartName="/word/media/rId23.png" ContentType="image/png"/>
  <Override PartName="/word/media/rId61.png" ContentType="image/png"/>
  <Override PartName="/word/media/rId44.png" ContentType="image/png"/>
  <Override PartName="/word/media/rId41.png" ContentType="image/png"/>
  <Override PartName="/word/media/rId101.png" ContentType="image/png"/>
  <Override PartName="/word/media/rId104.png" ContentType="image/png"/>
  <Override PartName="/word/media/rId108.png" ContentType="image/png"/>
  <Override PartName="/word/media/rId48.png" ContentType="image/png"/>
  <Override PartName="/word/media/rId51.png" ContentType="image/png"/>
  <Override PartName="/word/media/rId67.png" ContentType="image/png"/>
  <Override PartName="/word/media/rId20.png" ContentType="image/png"/>
  <Override PartName="/word/media/rId71.png" ContentType="image/png"/>
  <Override PartName="/word/media/rId74.png" ContentType="image/png"/>
  <Override PartName="/word/media/rId80.png" ContentType="image/png"/>
  <Override PartName="/word/media/rId83.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Polygenic</w:t>
      </w:r>
      <w:r>
        <w:t xml:space="preserve"> </w:t>
      </w:r>
      <w:r>
        <w:t xml:space="preserve">Risk</w:t>
      </w:r>
      <w:r>
        <w:t xml:space="preserve"> </w:t>
      </w:r>
      <w:r>
        <w:t xml:space="preserve">Score</w:t>
      </w:r>
      <w:r>
        <w:t xml:space="preserve"> </w:t>
      </w:r>
      <w:r>
        <w:t xml:space="preserve">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5"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9"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cystic fibrosis, are passed along via</w:t>
      </w:r>
      <w:r>
        <w:t xml:space="preserve"> </w:t>
      </w:r>
      <w:r>
        <w:rPr>
          <w:i/>
          <w:iCs/>
        </w:rPr>
        <w:t xml:space="preserve">Mendelian inheritance</w:t>
      </w:r>
      <w:r>
        <w:t xml:space="preserve">. A mutation in a single gene is sometimes enough to disrupt normal protein synthesis and cellular processes, causing a person to become sick. For example, the large</w:t>
      </w:r>
      <w:r>
        <w:t xml:space="preserve"> </w:t>
      </w:r>
      <w:r>
        <w:t xml:space="preserve">“</w:t>
      </w:r>
      <w:r>
        <w:t xml:space="preserve">V</w:t>
      </w:r>
      <w:r>
        <w:t xml:space="preserve">”</w:t>
      </w:r>
      <w:r>
        <w:t xml:space="preserve"> </w:t>
      </w:r>
      <w:r>
        <w:t xml:space="preserve">in the image below indicate disease-causing variants for cystic fibrosis.</w:t>
      </w:r>
    </w:p>
    <w:p>
      <w:pPr>
        <w:pStyle w:val="BodyText"/>
      </w:pPr>
      <w:r>
        <w:drawing>
          <wp:inline>
            <wp:extent cx="4800600" cy="2700337"/>
            <wp:effectExtent b="0" l="0" r="0" t="0"/>
            <wp:docPr descr="" title="" id="24" name="Picture"/>
            <a:graphic>
              <a:graphicData uri="http://schemas.openxmlformats.org/drawingml/2006/picture">
                <pic:pic>
                  <pic:nvPicPr>
                    <pic:cNvPr descr="genomic_med_prs_student_guide_files/figure-docx//1QxPej8YIbgsToOITRYKLxmGScjo0Eu5ldiKEE-lXvF0_g33d1509000c_54_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For example, coronary artery disease is complex. There are about 60 genomic variants across the genome that are more common in people with coronary artery disease.</w:t>
      </w:r>
    </w:p>
    <w:p>
      <w:pPr>
        <w:pStyle w:val="BodyText"/>
      </w:pPr>
      <w:r>
        <w:drawing>
          <wp:inline>
            <wp:extent cx="4800600" cy="2700337"/>
            <wp:effectExtent b="0" l="0" r="0" t="0"/>
            <wp:docPr descr="" title="" id="27" name="Picture"/>
            <a:graphic>
              <a:graphicData uri="http://schemas.openxmlformats.org/drawingml/2006/picture">
                <pic:pic>
                  <pic:nvPicPr>
                    <pic:cNvPr descr="genomic_med_prs_student_guide_files/figure-docx//1QxPej8YIbgsToOITRYKLxmGScjo0Eu5ldiKEE-lXvF0_g33d1509000c_54_14.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Polygenic traits are quite common, and they aren’t always diseases! Any trait that shows a range of phenotypes is likely to be the result of polygenic inheritance. Some of the more famous polygenic traits include height and skin color.</w:t>
      </w:r>
    </w:p>
    <w:bookmarkEnd w:id="29"/>
    <w:bookmarkStart w:id="36"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w:t>
      </w:r>
      <w:r>
        <w:t xml:space="preserve"> </w:t>
      </w:r>
      <w:r>
        <w:rPr>
          <w:b/>
          <w:bCs/>
        </w:rPr>
        <w:t xml:space="preserve">relative</w:t>
      </w:r>
      <w:r>
        <w:t xml:space="preserve"> </w:t>
      </w:r>
      <w:r>
        <w:t xml:space="preserve">risk for a disease based on genetics. First, researchers gather genomic data from many people, dividing them into two groups: those with versus those without the disease. They compare these groups to find genetic differences. These differences are used in the PRS calculation.</w:t>
      </w:r>
    </w:p>
    <w:p>
      <w:pPr>
        <w:pStyle w:val="BodyText"/>
      </w:pPr>
      <w:r>
        <w:t xml:space="preserve">We can look at all the variants a person might have, add them up, and then get an idea of whether they have more variants that contribute to a disease relative to how many protective variants they have.</w:t>
      </w:r>
    </w:p>
    <w:p>
      <w:pPr>
        <w:pStyle w:val="BodyText"/>
      </w:pPr>
      <w:r>
        <w:t xml:space="preserve">Typically, values greater than 1 mean that variant is more common in the disease group. Let’s imagine we are helping a patient determine their risk for coronary artery disease. Their score is</w:t>
      </w:r>
      <w:r>
        <w:t xml:space="preserve"> </w:t>
      </w:r>
      <w:r>
        <w:rPr>
          <w:b/>
          <w:bCs/>
        </w:rPr>
        <w:t xml:space="preserve">1.0234</w:t>
      </w:r>
      <w:r>
        <w:t xml:space="preserve">. We have to look at the score relative to others to determine the risk. This patient is in the 33rd percentile, meaning that they have higher risk than 33% of the people in the study population.</w:t>
      </w:r>
    </w:p>
    <w:p>
      <w:pPr>
        <w:pStyle w:val="BodyText"/>
      </w:pPr>
      <w:r>
        <w:drawing>
          <wp:inline>
            <wp:extent cx="4800600" cy="2700337"/>
            <wp:effectExtent b="0" l="0" r="0" t="0"/>
            <wp:docPr descr="" title="" id="31" name="Picture"/>
            <a:graphic>
              <a:graphicData uri="http://schemas.openxmlformats.org/drawingml/2006/picture">
                <pic:pic>
                  <pic:nvPicPr>
                    <pic:cNvPr descr="genomic_med_prs_student_guide_files/figure-docx//1QxPej8YIbgsToOITRYKLxmGScjo0Eu5ldiKEE-lXvF0_g33d1509000c_54_22.png" id="32" name="Picture"/>
                    <pic:cNvPicPr>
                      <a:picLocks noChangeArrowheads="1" noChangeAspect="1"/>
                    </pic:cNvPicPr>
                  </pic:nvPicPr>
                  <pic:blipFill>
                    <a:blip r:embed="rId30"/>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 name="Picture"/>
                  <a:graphic>
                    <a:graphicData uri="http://schemas.openxmlformats.org/drawingml/2006/picture">
                      <pic:pic>
                        <pic:nvPicPr>
                          <pic:cNvPr descr="/opt/quarto/share/formats/docx/tip.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r>
              <w:t xml:space="preserve">A PRS is just a rough estimate based on what we know at the moment about the genetics that contribute to developing a disease. In many case, a high PRS will only increase a person’s overall risk for a disease by less than 5%.</w:t>
            </w:r>
          </w:p>
          <w:p>
            <w:pPr>
              <w:pStyle w:val="BodyText"/>
            </w:pPr>
            <w:pPr>
              <w:spacing w:after="16"/>
            </w:pPr>
            <w:r>
              <w:rPr>
                <w:b/>
                <w:bCs/>
              </w:rPr>
              <w:t xml:space="preserve">A PRS is only as good as the reference database for a particular disease or trait.</w:t>
            </w:r>
          </w:p>
        </w:tc>
      </w:tr>
    </w:tbl>
    <w:bookmarkEnd w:id="36"/>
    <w:bookmarkStart w:id="37" w:name="genomic-ancestry"/>
    <w:p>
      <w:pPr>
        <w:pStyle w:val="Heading3"/>
      </w:pPr>
      <w:r>
        <w:t xml:space="preserve">Genomic Ancestry</w:t>
      </w:r>
    </w:p>
    <w:p>
      <w:pPr>
        <w:pStyle w:val="FirstParagraph"/>
      </w:pPr>
      <w:r>
        <w:t xml:space="preserve">The human genome contains a huge amount of variation. Different geographic regions have different frequencies of variants. By comparing individuals to others, an individual person’s variants can be used to determine the geographic region of their most likely ancestors. Several commercial companies perform these comparisons. Variants in the mitochondrial DNA are maternally inherited, variants in the Y chromosome are paternally inherited, and autosomal variants can come from either parent</w:t>
      </w:r>
      <w:r>
        <w:t xml:space="preserve"> </w:t>
      </w:r>
      <w:r>
        <w:t xml:space="preserve">[1]</w:t>
      </w:r>
      <w:r>
        <w:t xml:space="preserve">.</w:t>
      </w:r>
    </w:p>
    <w:bookmarkEnd w:id="37"/>
    <w:bookmarkStart w:id="38"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w:t>
      </w:r>
      <w:r>
        <w:t xml:space="preserve"> </w:t>
      </w:r>
      <w:r>
        <w:t xml:space="preserve">[2]</w:t>
      </w:r>
      <w:r>
        <w:t xml:space="preserve">. This means that genetic screening and symptom monitoring, especially in older age, can have a big impact on outcomes.</w:t>
      </w:r>
    </w:p>
    <w:bookmarkEnd w:id="38"/>
    <w:bookmarkStart w:id="39" w:name="mr.-js-data"/>
    <w:p>
      <w:pPr>
        <w:pStyle w:val="Heading3"/>
      </w:pPr>
      <w:r>
        <w:t xml:space="preserve">Mr. J’s Data</w:t>
      </w:r>
    </w:p>
    <w:p>
      <w:pPr>
        <w:pStyle w:val="FirstParagraph"/>
      </w:pPr>
      <w:r>
        <w:t xml:space="preserve">Mr. J is a man living in Baltimore, and recently celebrated his 50th birthday. He is a history teacher with Baltimore City Schools and recently has been enjoying spending more time with his bowling league. One of his teammates let Mr. J know he won’t make it to practice on Friday because he’s getting a cancer screening. Curious, Mr. J asks how often that has to happen. He wonders if he needs to get screened. He learns that his teammate has been getting screened more often because of a family history of prostate cancer and genetic testing results.</w:t>
      </w:r>
    </w:p>
    <w:p>
      <w:pPr>
        <w:pStyle w:val="BodyText"/>
      </w:pPr>
      <w:r>
        <w:t xml:space="preserve">The next time Mr. J goes to his doctor, he asks if he should get genetic testing done. His uncle had prostate cancer but he’s not sure if it has a genetic link.</w:t>
      </w:r>
    </w:p>
    <w:p>
      <w:pPr>
        <w:pStyle w:val="BodyText"/>
      </w:pPr>
      <w:r>
        <w:t xml:space="preserve">We’re going to take gene screening data for Mr. J, to understand his risk. Mr. J has African ancestry, which will be important later. First, let’s explore a variant to learn more.</w:t>
      </w:r>
    </w:p>
    <w:bookmarkEnd w:id="39"/>
    <w:bookmarkStart w:id="54"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40">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42" name="Picture"/>
            <a:graphic>
              <a:graphicData uri="http://schemas.openxmlformats.org/drawingml/2006/picture">
                <pic:pic>
                  <pic:nvPicPr>
                    <pic:cNvPr descr="genomic_med_prs_student_guide_files/figure-docx//1QxPej8YIbgsToOITRYKLxmGScjo0Eu5ldiKEE-lXvF0_g35f43ab35e5_0_6.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5" name="Picture"/>
            <a:graphic>
              <a:graphicData uri="http://schemas.openxmlformats.org/drawingml/2006/picture">
                <pic:pic>
                  <pic:nvPicPr>
                    <pic:cNvPr descr="genomic_med_prs_student_guide_files/figure-docx//1QxPej8YIbgsToOITRYKLxmGScjo0Eu5ldiKEE-lXvF0_g35f43ab35e5_0_11.png" id="46" name="Picture"/>
                    <pic:cNvPicPr>
                      <a:picLocks noChangeArrowheads="1" noChangeAspect="1"/>
                    </pic:cNvPicPr>
                  </pic:nvPicPr>
                  <pic:blipFill>
                    <a:blip r:embed="rId4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7">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9" name="Picture"/>
            <a:graphic>
              <a:graphicData uri="http://schemas.openxmlformats.org/drawingml/2006/picture">
                <pic:pic>
                  <pic:nvPicPr>
                    <pic:cNvPr descr="genomic_med_prs_student_guide_files/figure-docx//1QxPej8YIbgsToOITRYKLxmGScjo0Eu5ldiKEE-lXvF0_g35f4636d8f5_0_3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52" name="Picture"/>
            <a:graphic>
              <a:graphicData uri="http://schemas.openxmlformats.org/drawingml/2006/picture">
                <pic:pic>
                  <pic:nvPicPr>
                    <pic:cNvPr descr="genomic_med_prs_student_guide_files/figure-docx//1QxPej8YIbgsToOITRYKLxmGScjo0Eu5ldiKEE-lXvF0_g35f4636d8f5_0_42.png" id="53" name="Picture"/>
                    <pic:cNvPicPr>
                      <a:picLocks noChangeArrowheads="1" noChangeAspect="1"/>
                    </pic:cNvPicPr>
                  </pic:nvPicPr>
                  <pic:blipFill>
                    <a:blip r:embed="rId5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bookmarkEnd w:id="54"/>
    <w:bookmarkEnd w:id="55"/>
    <w:bookmarkStart w:id="59"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note.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r>
              <w:br/>
            </w:r>
          </w:p>
          <w:p>
            <w:pPr>
              <w:pStyle w:val="Compact"/>
              <w:numPr>
                <w:ilvl w:val="1"/>
                <w:numId w:val="1002"/>
              </w:numPr>
            </w:pPr>
            <w:r>
              <w:t xml:space="preserve">PRS must be based on an appropriate database of gene variants.</w:t>
            </w:r>
            <w:r>
              <w:br/>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40">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59"/>
    <w:bookmarkStart w:id="96" w:name="part-2"/>
    <w:p>
      <w:pPr>
        <w:pStyle w:val="Heading2"/>
      </w:pPr>
      <w:r>
        <w:t xml:space="preserve">Part 2</w:t>
      </w:r>
    </w:p>
    <w:p>
      <w:pPr>
        <w:pStyle w:val="FirstParagraph"/>
      </w:pPr>
      <w:r>
        <w:t xml:space="preserve">In Part 2, we’ll calculate our first PRS score.</w:t>
      </w:r>
    </w:p>
    <w:bookmarkStart w:id="70" w:name="entering-data"/>
    <w:p>
      <w:pPr>
        <w:pStyle w:val="Heading3"/>
      </w:pPr>
      <w:r>
        <w:t xml:space="preserve">Entering Data</w:t>
      </w:r>
    </w:p>
    <w:p>
      <w:pPr>
        <w:pStyle w:val="FirstParagraph"/>
      </w:pPr>
      <w:r>
        <w:t xml:space="preserve">Go to</w:t>
      </w:r>
      <w:r>
        <w:t xml:space="preserve"> </w:t>
      </w:r>
      <w:hyperlink r:id="rId60">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62" name="Picture"/>
            <a:graphic>
              <a:graphicData uri="http://schemas.openxmlformats.org/drawingml/2006/picture">
                <pic:pic>
                  <pic:nvPicPr>
                    <pic:cNvPr descr="genomic_med_prs_student_guide_files/figure-docx//1QxPej8YIbgsToOITRYKLxmGScjo0Eu5ldiKEE-lXvF0_g35f43ab35e5_0_0.png" id="63" name="Picture"/>
                    <pic:cNvPicPr>
                      <a:picLocks noChangeArrowheads="1" noChangeAspect="1"/>
                    </pic:cNvPicPr>
                  </pic:nvPicPr>
                  <pic:blipFill>
                    <a:blip r:embed="rId6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Get the data at</w:t>
      </w:r>
      <w:r>
        <w:t xml:space="preserve"> </w:t>
      </w:r>
      <w:hyperlink r:id="rId64">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tip.png" id="66"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p>
      <w:pPr>
        <w:pStyle w:val="BodyText"/>
      </w:pPr>
      <w:r>
        <w:t xml:space="preserve">Copy this data into the top part of the PRS calculator website.</w:t>
      </w:r>
    </w:p>
    <w:p>
      <w:pPr>
        <w:pStyle w:val="BodyText"/>
      </w:pPr>
      <w:r>
        <w:drawing>
          <wp:inline>
            <wp:extent cx="4800600" cy="2700337"/>
            <wp:effectExtent b="0" l="0" r="0" t="0"/>
            <wp:docPr descr="" title="" id="68" name="Picture"/>
            <a:graphic>
              <a:graphicData uri="http://schemas.openxmlformats.org/drawingml/2006/picture">
                <pic:pic>
                  <pic:nvPicPr>
                    <pic:cNvPr descr="genomic_med_prs_student_guide_files/figure-docx//1QxPej8YIbgsToOITRYKLxmGScjo0Eu5ldiKEE-lXvF0_g35f4636d8f5_0_57.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bookmarkEnd w:id="70"/>
    <w:bookmarkStart w:id="79" w:name="selecting-the-study"/>
    <w:p>
      <w:pPr>
        <w:pStyle w:val="Heading3"/>
      </w:pPr>
      <w:r>
        <w:t xml:space="preserve">Selecting the Study</w:t>
      </w:r>
    </w:p>
    <w:p>
      <w:pPr>
        <w:pStyle w:val="FirstParagraph"/>
      </w:pPr>
      <w:r>
        <w:t xml:space="preserve">Next, scroll down to</w:t>
      </w:r>
      <w:r>
        <w:t xml:space="preserve"> </w:t>
      </w:r>
      <w:r>
        <w:t xml:space="preserve">“</w:t>
      </w:r>
      <w:r>
        <w:t xml:space="preserve">GWAS Summary Statistics</w:t>
      </w:r>
      <w:r>
        <w:t xml:space="preserve">”</w:t>
      </w:r>
      <w:r>
        <w:t xml:space="preserve">. For item #1,</w:t>
      </w:r>
      <w:r>
        <w:t xml:space="preserve"> </w:t>
      </w:r>
      <w:r>
        <w:t xml:space="preserve">“</w:t>
      </w:r>
      <w:r>
        <w:t xml:space="preserve">Select Disease(s) or Trait(s) of Interest</w:t>
      </w:r>
      <w:r>
        <w:t xml:space="preserve">”</w:t>
      </w:r>
      <w:r>
        <w:t xml:space="preserve">, type in</w:t>
      </w:r>
      <w:r>
        <w:t xml:space="preserve"> </w:t>
      </w:r>
      <w:r>
        <w:t xml:space="preserve">“</w:t>
      </w:r>
      <w:r>
        <w:t xml:space="preserve">prostate carcinoma</w:t>
      </w:r>
      <w:r>
        <w:t xml:space="preserve">”</w:t>
      </w:r>
      <w:r>
        <w:t xml:space="preserve"> </w:t>
      </w:r>
      <w:r>
        <w:t xml:space="preserve">and select the checkbox. You might need to type slowly as the dropdown list has a lot of options! Then, click on</w:t>
      </w:r>
      <w:r>
        <w:t xml:space="preserve"> </w:t>
      </w:r>
      <w:r>
        <w:t xml:space="preserve">“</w:t>
      </w:r>
      <w:r>
        <w:t xml:space="preserve">Apply Filters</w:t>
      </w:r>
      <w:r>
        <w:t xml:space="preserve">”</w:t>
      </w:r>
      <w:r>
        <w:t xml:space="preserve"> </w:t>
      </w:r>
      <w:r>
        <w:t xml:space="preserve">to update the studies that can be used to calculate the PRS.</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63.png" id="73" name="Picture"/>
                    <pic:cNvPicPr>
                      <a:picLocks noChangeArrowheads="1" noChangeAspect="1"/>
                    </pic:cNvPicPr>
                  </pic:nvPicPr>
                  <pic:blipFill>
                    <a:blip r:embed="rId7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w:t>
      </w:r>
      <w:r>
        <w:t xml:space="preserve">Select from Filtered Studies</w:t>
      </w:r>
      <w:r>
        <w:t xml:space="preserve">”</w:t>
      </w:r>
      <w:r>
        <w:t xml:space="preserve">, type in the study number,</w:t>
      </w:r>
      <w:r>
        <w:t xml:space="preserve"> </w:t>
      </w:r>
      <w:r>
        <w:t xml:space="preserve">“</w:t>
      </w:r>
      <w:r>
        <w:t xml:space="preserve">GCST011047</w:t>
      </w:r>
      <w:r>
        <w:t xml:space="preserve">”</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70.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 Mr. J has African ancestry, so we should use a study whose participants also have African ancestry.</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9"/>
    <w:bookmarkStart w:id="86" w:name="selecting-the-population"/>
    <w:p>
      <w:pPr>
        <w:pStyle w:val="Heading3"/>
      </w:pPr>
      <w:r>
        <w:t xml:space="preserve">Selecting the Population</w:t>
      </w:r>
    </w:p>
    <w:p>
      <w:pPr>
        <w:pStyle w:val="FirstParagraph"/>
      </w:pPr>
      <w:r>
        <w:t xml:space="preserve">Select</w:t>
      </w:r>
      <w:r>
        <w:t xml:space="preserve"> </w:t>
      </w:r>
      <w:r>
        <w:t xml:space="preserve">“</w:t>
      </w:r>
      <w:r>
        <w:t xml:space="preserve">African</w:t>
      </w:r>
      <w:r>
        <w:t xml:space="preserve">”</w:t>
      </w:r>
      <w:r>
        <w:t xml:space="preserve"> </w:t>
      </w:r>
      <w:r>
        <w:t xml:space="preserve">as the</w:t>
      </w:r>
      <w:r>
        <w:t xml:space="preserve"> </w:t>
      </w:r>
      <w:r>
        <w:t xml:space="preserve">“</w:t>
      </w:r>
      <w:r>
        <w:t xml:space="preserve">Preferred Super Population</w:t>
      </w:r>
      <w:r>
        <w:t xml:space="preserve">”</w:t>
      </w:r>
      <w:r>
        <w:t xml:space="preserve"> </w:t>
      </w:r>
      <w:r>
        <w:t xml:space="preserve">and</w:t>
      </w:r>
      <w:r>
        <w:t xml:space="preserve"> </w:t>
      </w:r>
      <w:r>
        <w:t xml:space="preserve">“</w:t>
      </w:r>
      <w:r>
        <w:t xml:space="preserve">1000 Genomes - AFR population</w:t>
      </w:r>
      <w:r>
        <w:t xml:space="preserve">”</w:t>
      </w:r>
      <w:r>
        <w:t xml:space="preserve"> </w:t>
      </w:r>
      <w:r>
        <w:t xml:space="preserve">under</w:t>
      </w:r>
      <w:r>
        <w:t xml:space="preserve"> </w:t>
      </w:r>
      <w:r>
        <w:t xml:space="preserve">“</w:t>
      </w:r>
      <w:r>
        <w:t xml:space="preserve">MAF Population</w:t>
      </w:r>
      <w:r>
        <w:t xml:space="preserve">”</w:t>
      </w:r>
      <w:r>
        <w:t xml:space="preserve">.</w:t>
      </w:r>
    </w:p>
    <w:p>
      <w:pPr>
        <w:pStyle w:val="BodyText"/>
      </w:pPr>
      <w:r>
        <w:drawing>
          <wp:inline>
            <wp:extent cx="4800600" cy="2700337"/>
            <wp:effectExtent b="0" l="0" r="0" t="0"/>
            <wp:docPr descr="" title="" id="81" name="Picture"/>
            <a:graphic>
              <a:graphicData uri="http://schemas.openxmlformats.org/drawingml/2006/picture">
                <pic:pic>
                  <pic:nvPicPr>
                    <pic:cNvPr descr="genomic_med_prs_student_guide_files/figure-docx//1QxPej8YIbgsToOITRYKLxmGScjo0Eu5ldiKEE-lXvF0_g35f4636d8f5_0_77.png" id="82" name="Picture"/>
                    <pic:cNvPicPr>
                      <a:picLocks noChangeArrowheads="1" noChangeAspect="1"/>
                    </pic:cNvPicPr>
                  </pic:nvPicPr>
                  <pic:blipFill>
                    <a:blip r:embed="rId8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w:t>
      </w:r>
      <w:r>
        <w:t xml:space="preserve">Calculate Risk Scores</w:t>
      </w:r>
      <w:r>
        <w:t xml:space="preserve">”</w:t>
      </w:r>
      <w:r>
        <w:t xml:space="preserve">.</w:t>
      </w:r>
    </w:p>
    <w:p>
      <w:pPr>
        <w:pStyle w:val="BodyText"/>
      </w:pPr>
      <w:r>
        <w:drawing>
          <wp:inline>
            <wp:extent cx="4800600" cy="2700337"/>
            <wp:effectExtent b="0" l="0" r="0" t="0"/>
            <wp:docPr descr="" title="" id="84" name="Picture"/>
            <a:graphic>
              <a:graphicData uri="http://schemas.openxmlformats.org/drawingml/2006/picture">
                <pic:pic>
                  <pic:nvPicPr>
                    <pic:cNvPr descr="genomic_med_prs_student_guide_files/figure-docx//1QxPej8YIbgsToOITRYKLxmGScjo0Eu5ldiKEE-lXvF0_g35f4636d8f5_0_84.png" id="85" name="Picture"/>
                    <pic:cNvPicPr>
                      <a:picLocks noChangeArrowheads="1" noChangeAspect="1"/>
                    </pic:cNvPicPr>
                  </pic:nvPicPr>
                  <pic:blipFill>
                    <a:blip r:embed="rId83"/>
                    <a:stretch>
                      <a:fillRect/>
                    </a:stretch>
                  </pic:blipFill>
                  <pic:spPr bwMode="auto">
                    <a:xfrm>
                      <a:off x="0" y="0"/>
                      <a:ext cx="4800600" cy="2700337"/>
                    </a:xfrm>
                    <a:prstGeom prst="rect">
                      <a:avLst/>
                    </a:prstGeom>
                    <a:noFill/>
                    <a:ln w="9525">
                      <a:noFill/>
                      <a:headEnd/>
                      <a:tailEnd/>
                    </a:ln>
                  </pic:spPr>
                </pic:pic>
              </a:graphicData>
            </a:graphic>
          </wp:inline>
        </w:drawing>
      </w:r>
    </w:p>
    <w:bookmarkEnd w:id="86"/>
    <w:bookmarkStart w:id="9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88" name="Picture"/>
            <a:graphic>
              <a:graphicData uri="http://schemas.openxmlformats.org/drawingml/2006/picture">
                <pic:pic>
                  <pic:nvPicPr>
                    <pic:cNvPr descr="genomic_med_prs_student_guide_files/figure-docx//1QxPej8YIbgsToOITRYKLxmGScjo0Eu5ldiKEE-lXvF0_g35f4636d8f5_0_92.png" id="89" name="Picture"/>
                    <pic:cNvPicPr>
                      <a:picLocks noChangeArrowheads="1" noChangeAspect="1"/>
                    </pic:cNvPicPr>
                  </pic:nvPicPr>
                  <pic:blipFill>
                    <a:blip r:embed="rId87"/>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tip.png" id="9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93" name="Picture"/>
            <a:graphic>
              <a:graphicData uri="http://schemas.openxmlformats.org/drawingml/2006/picture">
                <pic:pic>
                  <pic:nvPicPr>
                    <pic:cNvPr descr="genomic_med_prs_student_guide_files/figure-docx//1QxPej8YIbgsToOITRYKLxmGScjo0Eu5ldiKEE-lXvF0_g35f4636d8f5_0_99.png" id="94" name="Picture"/>
                    <pic:cNvPicPr>
                      <a:picLocks noChangeArrowheads="1" noChangeAspect="1"/>
                    </pic:cNvPicPr>
                  </pic:nvPicPr>
                  <pic:blipFill>
                    <a:blip r:embed="rId9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95"/>
    <w:bookmarkEnd w:id="96"/>
    <w:bookmarkStart w:id="10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opt/quarto/share/formats/docx/note.png" id="9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Based on the PRS and percentile you calculated, will Mr. J develop prostate cancer? Why or why not?</w:t>
            </w:r>
          </w:p>
          <w:p>
            <w:pPr>
              <w:numPr>
                <w:ilvl w:val="0"/>
                <w:numId w:val="1004"/>
              </w:numPr>
            </w:pPr>
            <w:r>
              <w:t xml:space="preserve">Go to the</w:t>
            </w:r>
            <w:r>
              <w:t xml:space="preserve"> </w:t>
            </w:r>
            <w:hyperlink r:id="rId9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w:t>
            </w:r>
            <w:r>
              <w:t xml:space="preserve">Discovery sample description</w:t>
            </w:r>
            <w:r>
              <w:t xml:space="preserve">”</w:t>
            </w:r>
            <w:r>
              <w:t xml:space="preserve">.</w:t>
            </w:r>
          </w:p>
        </w:tc>
      </w:tr>
    </w:tbl>
    <w:bookmarkEnd w:id="100"/>
    <w:bookmarkStart w:id="115" w:name="part-3"/>
    <w:p>
      <w:pPr>
        <w:pStyle w:val="Heading2"/>
      </w:pPr>
      <w:r>
        <w:t xml:space="preserve">Part 3</w:t>
      </w:r>
    </w:p>
    <w:p>
      <w:pPr>
        <w:pStyle w:val="FirstParagraph"/>
      </w:pPr>
      <w:r>
        <w:t xml:space="preserve">In Part 3, we’ll compare the previous PRS score to one calculated using a different study.</w:t>
      </w:r>
    </w:p>
    <w:bookmarkStart w:id="107" w:name="adding-a-study"/>
    <w:p>
      <w:pPr>
        <w:pStyle w:val="Heading3"/>
      </w:pPr>
      <w:r>
        <w:t xml:space="preserve">Adding a Study</w:t>
      </w:r>
    </w:p>
    <w:p>
      <w:pPr>
        <w:pStyle w:val="FirstParagraph"/>
      </w:pPr>
      <w:r>
        <w:t xml:space="preserve">Scroll back up to the</w:t>
      </w:r>
      <w:r>
        <w:t xml:space="preserve"> </w:t>
      </w:r>
      <w:r>
        <w:t xml:space="preserve">“</w:t>
      </w:r>
      <w:r>
        <w:t xml:space="preserve">Select from Filtered Studies</w:t>
      </w:r>
      <w:r>
        <w:t xml:space="preserve">”</w:t>
      </w:r>
      <w:r>
        <w:t xml:space="preserve"> </w:t>
      </w:r>
      <w:r>
        <w:t xml:space="preserve">dropdown. Find Study</w:t>
      </w:r>
      <w:r>
        <w:t xml:space="preserve"> </w:t>
      </w:r>
      <w:r>
        <w:t xml:space="preserve">“</w:t>
      </w:r>
      <w:r>
        <w:t xml:space="preserve">GCST000152</w:t>
      </w:r>
      <w:r>
        <w:t xml:space="preserve">”</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102" name="Picture"/>
            <a:graphic>
              <a:graphicData uri="http://schemas.openxmlformats.org/drawingml/2006/picture">
                <pic:pic>
                  <pic:nvPicPr>
                    <pic:cNvPr descr="genomic_med_prs_student_guide_files/figure-docx//1QxPej8YIbgsToOITRYKLxmGScjo0Eu5ldiKEE-lXvF0_g35f4636d8f5_0_119.png" id="103" name="Picture"/>
                    <pic:cNvPicPr>
                      <a:picLocks noChangeArrowheads="1" noChangeAspect="1"/>
                    </pic:cNvPicPr>
                  </pic:nvPicPr>
                  <pic:blipFill>
                    <a:blip r:embed="rId10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Calculate Risk Scores</w:t>
      </w:r>
      <w:r>
        <w:t xml:space="preserve">”</w:t>
      </w:r>
      <w:r>
        <w:t xml:space="preserve"> </w:t>
      </w:r>
      <w:r>
        <w:t xml:space="preserve">again. This time you should have two lines of results.</w:t>
      </w:r>
    </w:p>
    <w:p>
      <w:pPr>
        <w:pStyle w:val="BodyText"/>
      </w:pPr>
      <w:r>
        <w:drawing>
          <wp:inline>
            <wp:extent cx="4800600" cy="2700337"/>
            <wp:effectExtent b="0" l="0" r="0" t="0"/>
            <wp:docPr descr="" title="" id="105" name="Picture"/>
            <a:graphic>
              <a:graphicData uri="http://schemas.openxmlformats.org/drawingml/2006/picture">
                <pic:pic>
                  <pic:nvPicPr>
                    <pic:cNvPr descr="genomic_med_prs_student_guide_files/figure-docx//1QxPej8YIbgsToOITRYKLxmGScjo0Eu5ldiKEE-lXvF0_g35f4636d8f5_0_127.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Start w:id="114"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109" name="Picture"/>
            <a:graphic>
              <a:graphicData uri="http://schemas.openxmlformats.org/drawingml/2006/picture">
                <pic:pic>
                  <pic:nvPicPr>
                    <pic:cNvPr descr="genomic_med_prs_student_guide_files/figure-docx//1QxPej8YIbgsToOITRYKLxmGScjo0Eu5ldiKEE-lXvF0_g35f4636d8f5_0_134.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11" name="Picture"/>
                  <a:graphic>
                    <a:graphicData uri="http://schemas.openxmlformats.org/drawingml/2006/picture">
                      <pic:pic>
                        <pic:nvPicPr>
                          <pic:cNvPr descr="/opt/quarto/share/formats/docx/tip.png" id="112"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1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bookmarkEnd w:id="114"/>
    <w:bookmarkEnd w:id="115"/>
    <w:bookmarkStart w:id="124"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6" name="Picture"/>
                  <a:graphic>
                    <a:graphicData uri="http://schemas.openxmlformats.org/drawingml/2006/picture">
                      <pic:pic>
                        <pic:nvPicPr>
                          <pic:cNvPr descr="/opt/quarto/share/formats/docx/note.png" id="117"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18">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Start w:id="123" w:name="refs"/>
    <w:bookmarkStart w:id="120" w:name="ref-jorde2020"/>
    <w:p>
      <w:pPr>
        <w:pStyle w:val="Bibliography"/>
      </w:pPr>
      <w:r>
        <w:t xml:space="preserve">[1]</w:t>
      </w:r>
      <w:r>
        <w:t xml:space="preserve"> </w:t>
      </w:r>
      <w:r>
        <w:t xml:space="preserve">	</w:t>
      </w:r>
      <w:r>
        <w:t xml:space="preserve">L. B. Jorde and M. J. Bamshad,</w:t>
      </w:r>
      <w:r>
        <w:t xml:space="preserve"> </w:t>
      </w:r>
      <w:r>
        <w:t xml:space="preserve">“Genetic ancestry testing: What is it and why is it important?”</w:t>
      </w:r>
      <w:r>
        <w:t xml:space="preserve"> </w:t>
      </w:r>
      <w:r>
        <w:rPr>
          <w:i/>
          <w:iCs/>
        </w:rPr>
        <w:t xml:space="preserve">Jama</w:t>
      </w:r>
      <w:r>
        <w:t xml:space="preserve">, vol. 323, no. 11, pp. 1089–1090, 2020, Available:</w:t>
      </w:r>
      <w:r>
        <w:t xml:space="preserve"> </w:t>
      </w:r>
      <w:hyperlink r:id="rId119">
        <w:r>
          <w:rPr>
            <w:rStyle w:val="Hyperlink"/>
          </w:rPr>
          <w:t xml:space="preserve">https://pmc.ncbi.nlm.nih.gov/articles/PMC8202415/</w:t>
        </w:r>
      </w:hyperlink>
    </w:p>
    <w:bookmarkEnd w:id="120"/>
    <w:bookmarkStart w:id="122" w:name="ref-leslie2024"/>
    <w:p>
      <w:pPr>
        <w:pStyle w:val="Bibliography"/>
      </w:pPr>
      <w:r>
        <w:t xml:space="preserve">[2]</w:t>
      </w:r>
      <w:r>
        <w:t xml:space="preserve"> </w:t>
      </w:r>
      <w:r>
        <w:t xml:space="preserve">	</w:t>
      </w:r>
      <w:r>
        <w:t xml:space="preserve">S. Leslie, T. Soon-Sutton, and W. Skelton,</w:t>
      </w:r>
      <w:r>
        <w:t xml:space="preserve"> </w:t>
      </w:r>
      <w:r>
        <w:t xml:space="preserve">“Prostate cancer,”</w:t>
      </w:r>
      <w:r>
        <w:t xml:space="preserve"> </w:t>
      </w:r>
      <w:r>
        <w:t xml:space="preserve">in</w:t>
      </w:r>
      <w:r>
        <w:t xml:space="preserve"> </w:t>
      </w:r>
      <w:r>
        <w:rPr>
          <w:i/>
          <w:iCs/>
        </w:rPr>
        <w:t xml:space="preserve">StatPearls [internet]</w:t>
      </w:r>
      <w:r>
        <w:t xml:space="preserve">, Treasure Island (FL): StatPearls Publishing, 2024. Available:</w:t>
      </w:r>
      <w:r>
        <w:t xml:space="preserve"> </w:t>
      </w:r>
      <w:hyperlink r:id="rId121">
        <w:r>
          <w:rPr>
            <w:rStyle w:val="Hyperlink"/>
          </w:rPr>
          <w:t xml:space="preserve">https://www.ncbi.nlm.nih.gov/books/NBK470550/</w:t>
        </w:r>
      </w:hyperlink>
    </w:p>
    <w:bookmarkEnd w:id="122"/>
    <w:bookmarkEnd w:id="123"/>
    <w:bookmarkEnd w:id="1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61" Target="media/rId61.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7" Target="media/rId67.png" /><Relationship Type="http://schemas.openxmlformats.org/officeDocument/2006/relationships/image" Id="rId20" Target="media/rId20.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2025-07-09T13:59:33Z</dcterms:created>
  <dcterms:modified xsi:type="dcterms:W3CDTF">2025-07-09T13:59:33Z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