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53.png" ContentType="image/png"/>
  <Override PartName="/word/media/rId33.png" ContentType="image/png"/>
  <Override PartName="/word/media/rId36.png" ContentType="image/png"/>
  <Override PartName="/word/media/rId45.png" ContentType="image/png"/>
  <Override PartName="/word/media/rId48.png" ContentType="image/png"/>
  <Override PartName="/word/media/rId39.png" ContentType="image/png"/>
  <Override PartName="/word/media/rId42.png" ContentType="image/png"/>
  <Override PartName="/word/media/rId30.png" ContentType="image/png"/>
  <Override PartName="/word/media/rId59.png" ContentType="image/png"/>
  <Override PartName="/word/media/rId62.png" ContentType="image/png"/>
  <Override PartName="/word/media/rId7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Differential</w:t>
      </w:r>
      <w:r>
        <w:rPr>
          <w:b/>
          <w:bCs/>
        </w:rPr>
        <w:t xml:space="preserve"> </w:t>
      </w:r>
      <w:r>
        <w:rPr>
          <w:b/>
          <w:bCs/>
        </w:rPr>
        <w:t xml:space="preserve">Expression</w:t>
      </w:r>
      <w:r>
        <w:rPr>
          <w:b/>
          <w:bCs/>
        </w:rPr>
        <w:t xml:space="preserve"> </w:t>
      </w:r>
      <w:r>
        <w:rPr>
          <w:b/>
          <w:bCs/>
        </w:rPr>
        <w:t xml:space="preserve">and</w:t>
      </w:r>
      <w:r>
        <w:rPr>
          <w:b/>
          <w:bCs/>
        </w:rPr>
        <w:t xml:space="preserve"> </w:t>
      </w:r>
      <w:r>
        <w:rPr>
          <w:b/>
          <w:bCs/>
        </w:rPr>
        <w:t xml:space="preserve">the</w:t>
      </w:r>
      <w:r>
        <w:rPr>
          <w:b/>
          <w:bCs/>
        </w:rPr>
        <w:t xml:space="preserve"> </w:t>
      </w:r>
      <w:r>
        <w:rPr>
          <w:b/>
          <w:bCs/>
        </w:rPr>
        <w:t xml:space="preserve">Mouse</w:t>
      </w:r>
      <w:r>
        <w:rPr>
          <w:b/>
          <w:bCs/>
        </w:rPr>
        <w:t xml:space="preserve"> </w:t>
      </w:r>
      <w:r>
        <w:rPr>
          <w:b/>
          <w:bCs/>
        </w:rPr>
        <w:t xml:space="preserve">Gut-Brain</w:t>
      </w:r>
      <w:r>
        <w:rPr>
          <w:b/>
          <w:bCs/>
        </w:rPr>
        <w:t xml:space="preserve"> </w:t>
      </w:r>
      <w:r>
        <w:rPr>
          <w:b/>
          <w:bCs/>
        </w:rPr>
        <w:t xml:space="preserve">Axis</w:t>
      </w:r>
    </w:p>
    <w:p>
      <w:pPr>
        <w:pStyle w:val="FirstParagraph"/>
      </w:pPr>
      <w:r>
        <w:t xml:space="preserve">This module provides data for an independent project exploring differential expression in RNA-seq data.</w:t>
      </w:r>
    </w:p>
    <w:p>
      <w:pPr>
        <w:pStyle w:val="BodyText"/>
      </w:pPr>
      <w:r>
        <w:t xml:space="preserve">This activity will walk through differential expression analysis and use bioinformatics tools (R) to understand how gut bacteria can influence the expression of genes in the brain (the gut-brain axis). You will work with real data from a mouse RNA-seq experiment.</w:t>
      </w:r>
    </w:p>
    <w:bookmarkStart w:id="52" w:name="background"/>
    <w:p>
      <w:pPr>
        <w:pStyle w:val="Heading2"/>
      </w:pPr>
      <w:r>
        <w:t xml:space="preserve">Background</w:t>
      </w:r>
    </w:p>
    <w:p>
      <w:pPr>
        <w:pStyle w:val="FirstParagraph"/>
      </w:pPr>
      <w:r>
        <w:rPr>
          <w:i/>
          <w:iCs/>
        </w:rPr>
        <w:t xml:space="preserve">Autism spectrum disorder (ASD)</w:t>
      </w:r>
      <w:r>
        <w:t xml:space="preserve"> </w:t>
      </w:r>
      <w:r>
        <w:t xml:space="preserve">is a neurological disorder that affects behavioral and social interactions, among other things. Although ASD can be diagnosed at any age, it’s considered a neurodevelopmental disorder because symptoms usually show up within the first two years of life. Individuals diagnosed with ASD can experience a wide range of symptoms, including differences in social behaviors and communication styles, as well as intellectual disabilities and physical issues like sensory sensitivities or gastrointestinal problems.</w:t>
      </w:r>
    </w:p>
    <w:p>
      <w:pPr>
        <w:pStyle w:val="BodyText"/>
      </w:pPr>
      <w:r>
        <w:t xml:space="preserve">The data for this activity includes gene expression data from two different brain regions (striatum and prefrontal cortex) in mice.</w:t>
      </w:r>
    </w:p>
    <w:p>
      <w:pPr>
        <w:pStyle w:val="BodyText"/>
      </w:pPr>
      <w:r>
        <w:t xml:space="preserve">The</w:t>
      </w:r>
      <w:r>
        <w:t xml:space="preserve"> </w:t>
      </w:r>
      <w:r>
        <w:rPr>
          <w:i/>
          <w:iCs/>
        </w:rPr>
        <w:t xml:space="preserve">striatum</w:t>
      </w:r>
      <w:r>
        <w:t xml:space="preserve"> </w:t>
      </w:r>
      <w:r>
        <w:t xml:space="preserve">is part of the brain involved in motor control and cognitive tasks like reward processing, decision-making, and social interactions (often called executive functions). It lies deep within the center of the brain and is composed of both gray matter (which can be thought of as the</w:t>
      </w:r>
      <w:r>
        <w:t xml:space="preserve"> </w:t>
      </w:r>
      <w:r>
        <w:t xml:space="preserve">“</w:t>
      </w:r>
      <w:r>
        <w:t xml:space="preserve">processing</w:t>
      </w:r>
      <w:r>
        <w:t xml:space="preserve">”</w:t>
      </w:r>
      <w:r>
        <w:t xml:space="preserve"> </w:t>
      </w:r>
      <w:r>
        <w:t xml:space="preserve">part of brain tissue) and white matter (which is the brain structure involved in transporting messages); the combination of the gray and white matter give this region of the brain a striped appearance, resulting in the name</w:t>
      </w:r>
      <w:r>
        <w:t xml:space="preserve"> </w:t>
      </w:r>
      <w:r>
        <w:t xml:space="preserve">“</w:t>
      </w:r>
      <w:r>
        <w:t xml:space="preserve">striatum</w:t>
      </w:r>
      <w:r>
        <w:t xml:space="preserve">”</w:t>
      </w:r>
      <w:r>
        <w:t xml:space="preserve">. The striatum is involved in both reflexive movement - that is, involuntary movement that happens as an immediate response to a stimulus - and slower, planned movement like walking. In Parkinson’s disease, some patients experience degeneration of parts of the striatum, resulting in spastic, uncontrollable movement.</w:t>
      </w:r>
    </w:p>
    <w:p>
      <w:pPr>
        <w:pStyle w:val="BodyText"/>
      </w:pPr>
      <w:r>
        <w:t xml:space="preserve">The</w:t>
      </w:r>
      <w:r>
        <w:t xml:space="preserve"> </w:t>
      </w:r>
      <w:r>
        <w:rPr>
          <w:i/>
          <w:iCs/>
        </w:rPr>
        <w:t xml:space="preserve">prefrontal cortex</w:t>
      </w:r>
      <w:r>
        <w:t xml:space="preserve"> </w:t>
      </w:r>
      <w:r>
        <w:t xml:space="preserve">is the part of the brain that is primarily in charge of decision making, reasoning, personality, maintaining social appropriateness, and other complex behaviors that fall under the umbrella of executive functions. This can include planning, self-control, and working towards long-term goals. The prefrontal cortex is located in the very front of the brain, just behind your forehead. One of the most famous brain injury patients was Phineas Gage, a railroad worker who survived an iron rod through his forehead. His prefrontal cortex was destroyed in this accident, and doctors noted huge behavioral and personality changes. You can read more about his case</w:t>
      </w:r>
      <w:r>
        <w:t xml:space="preserve"> </w:t>
      </w:r>
      <w:hyperlink r:id="rId20">
        <w:r>
          <w:rPr>
            <w:rStyle w:val="Hyperlink"/>
          </w:rPr>
          <w:t xml:space="preserve">here</w:t>
        </w:r>
      </w:hyperlink>
      <w:r>
        <w:t xml:space="preserve">.</w:t>
      </w:r>
    </w:p>
    <w:bookmarkStart w:id="25" w:name="the-original-study"/>
    <w:p>
      <w:pPr>
        <w:pStyle w:val="Heading3"/>
      </w:pPr>
      <w:r>
        <w:t xml:space="preserve">The original study</w:t>
      </w:r>
    </w:p>
    <w:p>
      <w:pPr>
        <w:pStyle w:val="FirstParagraph"/>
      </w:pPr>
      <w:r>
        <w:t xml:space="preserve">The original study,</w:t>
      </w:r>
      <w:r>
        <w:t xml:space="preserve"> </w:t>
      </w:r>
      <w:r>
        <w:rPr>
          <w:i/>
          <w:iCs/>
        </w:rPr>
        <w:t xml:space="preserve">Human Gut Microbiota from Autism Spectrum Disorder Induces Behavioral Deficits in Mice</w:t>
      </w:r>
      <w:r>
        <w:t xml:space="preserve">, was published in 2019. Gut microbiota are known to be different between individuals with ASD and individuals who are considered typically-developing. Additionally, some individuals with ASD also experience gastrointestinal symptoms, and their gut microbiota show the greatest difference when compared to the gut microbiota of typically-developing individuals. Some researchers have proposed that gut bacteria can influence some of the symptoms of ASD. The relationship between the intestinal microbiome and the development and function of the human brain is known as the</w:t>
      </w:r>
      <w:r>
        <w:t xml:space="preserve"> </w:t>
      </w:r>
      <w:r>
        <w:rPr>
          <w:i/>
          <w:iCs/>
        </w:rPr>
        <w:t xml:space="preserve">gut-brain axis.</w:t>
      </w:r>
    </w:p>
    <w:p>
      <w:pPr>
        <w:pStyle w:val="BodyText"/>
      </w:pPr>
      <w:r>
        <w:t xml:space="preserve">In this study, researchers explored whether they could induce ASD-like behaviors in mice by changing their gut microbiome. Mice in this experiment received fecal transplants. Some mice received transplants from humans who have been diagnosed with ASD, while other mice received transplants from humans who did not have any diagnosis (control). This allowed researchers to control the composition of the gut microbiome in each mouse. They discovered that colonization with gut microbiota was enough to induce ASD-like behaviors in the mice. They also let the mice breed and collected gene expression data from the brains of their offspring to explore whether changing the gut microbiota could result in changed gene expression. In particular, they discovered that the offspring of mice who received stool from ASD donors showed different gene splicing and expression profiles of certain ASD-relevant 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It is important to note that researchers are</w:t>
            </w:r>
            <w:r>
              <w:t xml:space="preserve"> </w:t>
            </w:r>
            <w:r>
              <w:rPr>
                <w:b/>
                <w:bCs/>
              </w:rPr>
              <w:t xml:space="preserve">not</w:t>
            </w:r>
            <w:r>
              <w:t xml:space="preserve"> </w:t>
            </w:r>
            <w:r>
              <w:t xml:space="preserve">suggesting that ASD is entirely induced by gut bacteria. There is a strong genetic component to ASD. Scientists have known for years that there are</w:t>
            </w:r>
            <w:r>
              <w:t xml:space="preserve"> </w:t>
            </w:r>
            <w:r>
              <w:rPr>
                <w:b/>
                <w:bCs/>
              </w:rPr>
              <w:t xml:space="preserve">both genetic and environmental components</w:t>
            </w:r>
            <w:r>
              <w:t xml:space="preserve"> </w:t>
            </w:r>
            <w:r>
              <w:t xml:space="preserve">to the development or severity of</w:t>
            </w:r>
            <w:r>
              <w:t xml:space="preserve"> </w:t>
            </w:r>
            <w:r>
              <w:rPr>
                <w:b/>
                <w:bCs/>
              </w:rPr>
              <w:t xml:space="preserve">some</w:t>
            </w:r>
            <w:r>
              <w:t xml:space="preserve"> </w:t>
            </w:r>
            <w:r>
              <w:t xml:space="preserve">ASD symptoms. This research explores one possible environmental component.</w:t>
            </w:r>
          </w:p>
        </w:tc>
      </w:tr>
    </w:tbl>
    <w:p>
      <w:pPr>
        <w:pStyle w:val="BodyText"/>
      </w:pPr>
      <w:r>
        <w:t xml:space="preserve">You can read the original research paper</w:t>
      </w:r>
      <w:r>
        <w:t xml:space="preserve"> </w:t>
      </w:r>
      <w:hyperlink r:id="rId24">
        <w:r>
          <w:rPr>
            <w:rStyle w:val="Hyperlink"/>
          </w:rPr>
          <w:t xml:space="preserve">here</w:t>
        </w:r>
      </w:hyperlink>
      <w:r>
        <w:t xml:space="preserve">.</w:t>
      </w:r>
    </w:p>
    <w:bookmarkEnd w:id="25"/>
    <w:bookmarkStart w:id="27" w:name="the-mouse-as-a-model-organism"/>
    <w:p>
      <w:pPr>
        <w:pStyle w:val="Heading3"/>
      </w:pPr>
      <w:r>
        <w:t xml:space="preserve">The mouse as a model organism</w:t>
      </w:r>
    </w:p>
    <w:p>
      <w:pPr>
        <w:pStyle w:val="FirstParagraph"/>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r>
        <w:t xml:space="preserve">So what makes mice such good model organisms for biomedical research? Well, first, they’re economical and relatively easy to keep. Since mice are small, they don’t require a huge amount of space or food. They also have fast reproductive cycles, so researchers can study multiple generations within only a few years. Most importantly, though,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 They are particularly important model organisms for cancer research and neuroscience.</w:t>
      </w:r>
    </w:p>
    <w:p>
      <w:pPr>
        <w:pStyle w:val="BodyText"/>
      </w:pPr>
      <w:r>
        <w:t xml:space="preserve">You can find additional information about how the mouse is used in research</w:t>
      </w:r>
      <w:r>
        <w:t xml:space="preserve"> </w:t>
      </w:r>
      <w:hyperlink r:id="rId26">
        <w:r>
          <w:rPr>
            <w:rStyle w:val="Hyperlink"/>
          </w:rPr>
          <w:t xml:space="preserve">here!</w:t>
        </w:r>
      </w:hyperlink>
    </w:p>
    <w:bookmarkEnd w:id="27"/>
    <w:bookmarkStart w:id="51" w:name="X57523e77e2b4a6e0c302c389ac768f2665a9d1a"/>
    <w:p>
      <w:pPr>
        <w:pStyle w:val="Heading3"/>
      </w:pPr>
      <w:r>
        <w:t xml:space="preserve">Exploring genes of interest with the Mouse Genome Informatics database</w:t>
      </w:r>
    </w:p>
    <w:p>
      <w:pPr>
        <w:pStyle w:val="FirstParagraph"/>
      </w:pPr>
      <w:r>
        <w:t xml:space="preserve">The</w:t>
      </w:r>
      <w:r>
        <w:t xml:space="preserve"> </w:t>
      </w:r>
      <w:hyperlink r:id="rId28">
        <w:r>
          <w:rPr>
            <w:rStyle w:val="Hyperlink"/>
          </w:rPr>
          <w:t xml:space="preserve">Mouse Genome Informatics</w:t>
        </w:r>
      </w:hyperlink>
      <w:r>
        <w:t xml:space="preserve"> </w:t>
      </w:r>
      <w:r>
        <w:t xml:space="preserve">database that tracks mouse genes and expression data. A full introduction to everything available through the MGI can be found</w:t>
      </w:r>
      <w:r>
        <w:t xml:space="preserve"> </w:t>
      </w:r>
      <w:hyperlink r:id="rId29">
        <w:r>
          <w:rPr>
            <w:rStyle w:val="Hyperlink"/>
          </w:rPr>
          <w:t xml:space="preserve">here</w:t>
        </w:r>
      </w:hyperlink>
      <w:r>
        <w:t xml:space="preserve">. We’ll reproduce some of it below.</w:t>
      </w:r>
    </w:p>
    <w:p>
      <w:pPr>
        <w:pStyle w:val="BodyText"/>
      </w:pPr>
      <w:r>
        <w:t xml:space="preserve">To look up information on a particular gene of interest, choose the</w:t>
      </w:r>
      <w:r>
        <w:t xml:space="preserve"> </w:t>
      </w:r>
      <w:r>
        <w:t xml:space="preserve">“</w:t>
      </w:r>
      <w:r>
        <w:t xml:space="preserve">Genes</w:t>
      </w:r>
      <w:r>
        <w:t xml:space="preserve">”</w:t>
      </w:r>
      <w:r>
        <w:t xml:space="preserve"> </w:t>
      </w:r>
      <w:r>
        <w:t xml:space="preserve">button.</w:t>
      </w:r>
    </w:p>
    <w:p>
      <w:pPr>
        <w:pStyle w:val="BodyText"/>
      </w:pPr>
      <w:r>
        <w:drawing>
          <wp:inline>
            <wp:extent cx="5334000" cy="3000375"/>
            <wp:effectExtent b="0" l="0" r="0" t="0"/>
            <wp:docPr descr="" title="" id="31" name="Picture"/>
            <a:graphic>
              <a:graphicData uri="http://schemas.openxmlformats.org/drawingml/2006/picture">
                <pic:pic>
                  <pic:nvPicPr>
                    <pic:cNvPr descr="resources/images/mouse_gutbrain_de_independent_guide_files/figure-docx//1vikcyml6uw-_DaC1yFpS-UWoWNEGxFukMB_eCi42BqY_g357f7ed062e_9_0.png" id="32" name="Picture"/>
                    <pic:cNvPicPr>
                      <a:picLocks noChangeArrowheads="1" noChangeAspect="1"/>
                    </pic:cNvPicPr>
                  </pic:nvPicPr>
                  <pic:blipFill>
                    <a:blip r:embed="rId3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Next, type the gene ID into the</w:t>
      </w:r>
      <w:r>
        <w:t xml:space="preserve"> </w:t>
      </w:r>
      <w:r>
        <w:t xml:space="preserve">“</w:t>
      </w:r>
      <w:r>
        <w:t xml:space="preserve">Search</w:t>
      </w:r>
      <w:r>
        <w:t xml:space="preserve">”</w:t>
      </w:r>
      <w:r>
        <w:t xml:space="preserve"> </w:t>
      </w:r>
      <w:r>
        <w:t xml:space="preserve">bar up top. We’ll look up</w:t>
      </w:r>
      <w:r>
        <w:t xml:space="preserve"> </w:t>
      </w:r>
      <w:r>
        <w:t xml:space="preserve">“</w:t>
      </w:r>
      <w:r>
        <w:t xml:space="preserve">ENSMUSG00000079516</w:t>
      </w:r>
      <w:r>
        <w:t xml:space="preserve">”</w:t>
      </w:r>
      <w:r>
        <w:t xml:space="preserve">.</w:t>
      </w:r>
    </w:p>
    <w:p>
      <w:pPr>
        <w:pStyle w:val="BodyText"/>
      </w:pPr>
      <w:r>
        <w:drawing>
          <wp:inline>
            <wp:extent cx="5334000" cy="3000375"/>
            <wp:effectExtent b="0" l="0" r="0" t="0"/>
            <wp:docPr descr="" title="" id="34" name="Picture"/>
            <a:graphic>
              <a:graphicData uri="http://schemas.openxmlformats.org/drawingml/2006/picture">
                <pic:pic>
                  <pic:nvPicPr>
                    <pic:cNvPr descr="resources/images/mouse_gutbrain_de_independent_guide_files/figure-docx//1vikcyml6uw-_DaC1yFpS-UWoWNEGxFukMB_eCi42BqY_g3412c9eee7c_0_1.png" id="35" name="Picture"/>
                    <pic:cNvPicPr>
                      <a:picLocks noChangeArrowheads="1" noChangeAspect="1"/>
                    </pic:cNvPicPr>
                  </pic:nvPicPr>
                  <pic:blipFill>
                    <a:blip r:embed="rId3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After you type the gene ID into the Search bar and hit enter, you should see a new page with basic information about the gene. Click on the gene symbol (in this example, Reg3a) to get more detailed information.</w:t>
      </w:r>
    </w:p>
    <w:p>
      <w:pPr>
        <w:pStyle w:val="BodyText"/>
      </w:pPr>
      <w:r>
        <w:drawing>
          <wp:inline>
            <wp:extent cx="5334000" cy="3000375"/>
            <wp:effectExtent b="0" l="0" r="0" t="0"/>
            <wp:docPr descr="" title="" id="37" name="Picture"/>
            <a:graphic>
              <a:graphicData uri="http://schemas.openxmlformats.org/drawingml/2006/picture">
                <pic:pic>
                  <pic:nvPicPr>
                    <pic:cNvPr descr="resources/images/mouse_gutbrain_de_independent_guide_files/figure-docx//1vikcyml6uw-_DaC1yFpS-UWoWNEGxFukMB_eCi42BqY_g346083d4dc0_0_0.png" id="38" name="Picture"/>
                    <pic:cNvPicPr>
                      <a:picLocks noChangeArrowheads="1" noChangeAspect="1"/>
                    </pic:cNvPicPr>
                  </pic:nvPicPr>
                  <pic:blipFill>
                    <a:blip r:embed="rId3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might come across some unexpected terms when you search the MGI for your gene ID. In addition to genes, Ensembl gene IDs are also given to</w:t>
      </w:r>
      <w:r>
        <w:t xml:space="preserve"> </w:t>
      </w:r>
      <w:r>
        <w:t xml:space="preserve">“</w:t>
      </w:r>
      <w:r>
        <w:t xml:space="preserve">pseudogenes</w:t>
      </w:r>
      <w:r>
        <w:t xml:space="preserve">”</w:t>
      </w:r>
      <w:r>
        <w:t xml:space="preserve">,</w:t>
      </w:r>
      <w:r>
        <w:t xml:space="preserve"> </w:t>
      </w:r>
      <w:r>
        <w:t xml:space="preserve">“</w:t>
      </w:r>
      <w:r>
        <w:t xml:space="preserve">putative genes</w:t>
      </w:r>
      <w:r>
        <w:t xml:space="preserve">”</w:t>
      </w:r>
      <w:r>
        <w:t xml:space="preserve">, and</w:t>
      </w:r>
      <w:r>
        <w:t xml:space="preserve"> </w:t>
      </w:r>
      <w:r>
        <w:t xml:space="preserve">“</w:t>
      </w:r>
      <w:r>
        <w:t xml:space="preserve">lncRNA</w:t>
      </w:r>
      <w:r>
        <w:t xml:space="preserve">”</w:t>
      </w:r>
      <w:r>
        <w:t xml:space="preserve">.</w:t>
      </w:r>
    </w:p>
    <w:p>
      <w:pPr>
        <w:pStyle w:val="BodyText"/>
      </w:pPr>
      <w:r>
        <w:rPr>
          <w:b/>
          <w:bCs/>
        </w:rPr>
        <w:t xml:space="preserve">pseudogene</w:t>
      </w:r>
      <w:r>
        <w:t xml:space="preserve">: This is a stretch of DNA that looks like a gene but doesn’t actually code for any protein products. It’s essentially a copy of a gene that contains mutations that prevent translation into a protein product. The mutations can include partial deletions, missing promoters, missing start codons, premature stop codons, frameshift mutations, or missing introns. Any of these are enough to result in a pseudogene.</w:t>
      </w:r>
    </w:p>
    <w:p>
      <w:pPr>
        <w:pStyle w:val="BodyText"/>
      </w:pPr>
      <w:r>
        <w:rPr>
          <w:b/>
          <w:bCs/>
        </w:rPr>
        <w:t xml:space="preserve">putative gene</w:t>
      </w:r>
      <w:r>
        <w:t xml:space="preserve">: This is a DNA segment that is believed to be a gene, but its function and protein product has not been confirmed. They are frequently identified based on the presence of an Open Reading Frame. Putative genes are not given names until they become confirmed genes.</w:t>
      </w:r>
    </w:p>
    <w:p>
      <w:pPr>
        <w:pStyle w:val="BodyText"/>
      </w:pPr>
      <w:r>
        <w:rPr>
          <w:b/>
          <w:bCs/>
        </w:rPr>
        <w:t xml:space="preserve">lncRNA</w:t>
      </w:r>
      <w:r>
        <w:t xml:space="preserve">: This stands for</w:t>
      </w:r>
      <w:r>
        <w:t xml:space="preserve"> </w:t>
      </w:r>
      <w:r>
        <w:t xml:space="preserve">“</w:t>
      </w:r>
      <w:r>
        <w:t xml:space="preserve">long non-coding RNA</w:t>
      </w:r>
      <w:r>
        <w:t xml:space="preserve">”</w:t>
      </w:r>
      <w:r>
        <w:t xml:space="preserve">. lncRNA is a type of RNA molecule that is transcribed from DNA but does not code for proteins. These RNA molecules are at least 200-500 nucleotides long and play roles in various biological processes, like gene regulation.</w:t>
      </w:r>
    </w:p>
    <w:p>
      <w:pPr>
        <w:pStyle w:val="BodyText"/>
      </w:pPr>
      <w:r>
        <w:t xml:space="preserve">On the new page that you open, details about the gene are organized into familiar categories. Down the left-hand side of the page, you will see sections about the chromosomal location, homology, gene ontology, expression data, and more. Most sections are expanded by default, but you’ll need to expand the</w:t>
      </w:r>
      <w:r>
        <w:t xml:space="preserve"> </w:t>
      </w:r>
      <w:r>
        <w:t xml:space="preserve">“</w:t>
      </w:r>
      <w:r>
        <w:t xml:space="preserve">homology</w:t>
      </w:r>
      <w:r>
        <w:t xml:space="preserve">”</w:t>
      </w:r>
      <w:r>
        <w:t xml:space="preserve"> </w:t>
      </w:r>
      <w:r>
        <w:t xml:space="preserve">section yourself.</w:t>
      </w:r>
    </w:p>
    <w:p>
      <w:pPr>
        <w:pStyle w:val="BodyText"/>
      </w:pPr>
      <w:r>
        <w:drawing>
          <wp:inline>
            <wp:extent cx="5334000" cy="3000375"/>
            <wp:effectExtent b="0" l="0" r="0" t="0"/>
            <wp:docPr descr="" title="" id="40" name="Picture"/>
            <a:graphic>
              <a:graphicData uri="http://schemas.openxmlformats.org/drawingml/2006/picture">
                <pic:pic>
                  <pic:nvPicPr>
                    <pic:cNvPr descr="resources/images/mouse_gutbrain_de_independent_guide_files/figure-docx//1vikcyml6uw-_DaC1yFpS-UWoWNEGxFukMB_eCi42BqY_g346083d4dc0_0_5.png" id="41" name="Picture"/>
                    <pic:cNvPicPr>
                      <a:picLocks noChangeArrowheads="1" noChangeAspect="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this section is expanded, you can find information about possible human homologs to the mouse gene, including alternate names and where the human homolog is located in the human genome.</w:t>
      </w:r>
    </w:p>
    <w:p>
      <w:pPr>
        <w:pStyle w:val="BodyText"/>
      </w:pPr>
      <w:r>
        <w:drawing>
          <wp:inline>
            <wp:extent cx="5334000" cy="3000375"/>
            <wp:effectExtent b="0" l="0" r="0" t="0"/>
            <wp:docPr descr="" title="" id="43" name="Picture"/>
            <a:graphic>
              <a:graphicData uri="http://schemas.openxmlformats.org/drawingml/2006/picture">
                <pic:pic>
                  <pic:nvPicPr>
                    <pic:cNvPr descr="resources/images/mouse_gutbrain_de_independent_guide_files/figure-docx//1vikcyml6uw-_DaC1yFpS-UWoWNEGxFukMB_eCi42BqY_g346083d4dc0_0_8.png" id="44"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you continue scrolling down the page, you can also examine the pathways and processes the gene product is involved in under the</w:t>
      </w:r>
      <w:r>
        <w:t xml:space="preserve"> </w:t>
      </w:r>
      <w:r>
        <w:t xml:space="preserve">“</w:t>
      </w:r>
      <w:r>
        <w:t xml:space="preserve">gene ontology</w:t>
      </w:r>
      <w:r>
        <w:t xml:space="preserve">”</w:t>
      </w:r>
      <w:r>
        <w:t xml:space="preserve"> </w:t>
      </w:r>
      <w:r>
        <w:t xml:space="preserve">section. Clicking on the blue squares takes you to a page with more information about how that particular gene was assigned to a pathway or molecular process.</w:t>
      </w:r>
    </w:p>
    <w:p>
      <w:pPr>
        <w:pStyle w:val="BodyText"/>
      </w:pPr>
      <w:r>
        <w:drawing>
          <wp:inline>
            <wp:extent cx="5334000" cy="3000375"/>
            <wp:effectExtent b="0" l="0" r="0" t="0"/>
            <wp:docPr descr="" title="" id="46" name="Picture"/>
            <a:graphic>
              <a:graphicData uri="http://schemas.openxmlformats.org/drawingml/2006/picture">
                <pic:pic>
                  <pic:nvPicPr>
                    <pic:cNvPr descr="resources/images/mouse_gutbrain_de_independent_guide_files/figure-docx//1vikcyml6uw-_DaC1yFpS-UWoWNEGxFukMB_eCi42BqY_g346083d4dc0_0_11.png" id="47"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Directly underneath the</w:t>
      </w:r>
      <w:r>
        <w:t xml:space="preserve"> </w:t>
      </w:r>
      <w:r>
        <w:t xml:space="preserve">“</w:t>
      </w:r>
      <w:r>
        <w:t xml:space="preserve">ontology</w:t>
      </w:r>
      <w:r>
        <w:t xml:space="preserve">”</w:t>
      </w:r>
      <w:r>
        <w:t xml:space="preserve"> </w:t>
      </w:r>
      <w:r>
        <w:t xml:space="preserve">section is information about when the gene is expressed during development. You can learn more information by clicking on the blue squares, or by clicking on the links in the upper right-hand corner. These links will take you to other websites.</w:t>
      </w:r>
    </w:p>
    <w:p>
      <w:pPr>
        <w:pStyle w:val="BodyText"/>
      </w:pPr>
      <w:r>
        <w:drawing>
          <wp:inline>
            <wp:extent cx="5334000" cy="3000375"/>
            <wp:effectExtent b="0" l="0" r="0" t="0"/>
            <wp:docPr descr="" title="" id="49" name="Picture"/>
            <a:graphic>
              <a:graphicData uri="http://schemas.openxmlformats.org/drawingml/2006/picture">
                <pic:pic>
                  <pic:nvPicPr>
                    <pic:cNvPr descr="resources/images/mouse_gutbrain_de_independent_guide_files/figure-docx//1vikcyml6uw-_DaC1yFpS-UWoWNEGxFukMB_eCi42BqY_g346083d4dc0_0_18.png" id="5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bookmarkEnd w:id="51"/>
    <w:bookmarkEnd w:id="52"/>
    <w:bookmarkStart w:id="84" w:name="analysis"/>
    <w:p>
      <w:pPr>
        <w:pStyle w:val="Heading2"/>
      </w:pPr>
      <w:r>
        <w:t xml:space="preserve">Analysis</w:t>
      </w:r>
    </w:p>
    <w:p>
      <w:pPr>
        <w:pStyle w:val="FirstParagraph"/>
      </w:pPr>
      <w:r>
        <w:t xml:space="preserve">Before starting this activity, you should have completed the miniCURE activities and identified genes of interest for your individual project.</w:t>
      </w:r>
      <w:r>
        <w:t xml:space="preserve"> </w:t>
      </w:r>
      <w:r>
        <w:t xml:space="preserve">Remember, the basic steps of your analysis are:</w:t>
      </w:r>
    </w:p>
    <w:p>
      <w:pPr>
        <w:numPr>
          <w:ilvl w:val="0"/>
          <w:numId w:val="1001"/>
        </w:numPr>
      </w:pPr>
      <w:r>
        <w:t xml:space="preserve">Examine expression of your gene of interest in this dataset.</w:t>
      </w:r>
    </w:p>
    <w:p>
      <w:pPr>
        <w:numPr>
          <w:ilvl w:val="0"/>
          <w:numId w:val="1001"/>
        </w:numPr>
      </w:pPr>
      <w:r>
        <w:t xml:space="preserve">Explore whether your gene of interest is differentially expressed between the experimental groups.</w:t>
      </w:r>
    </w:p>
    <w:p>
      <w:pPr>
        <w:numPr>
          <w:ilvl w:val="0"/>
          <w:numId w:val="1001"/>
        </w:numPr>
      </w:pPr>
      <w:r>
        <w:t xml:space="preserve">Characterize the genes that are differentially expressed between the experimental groups based on their molecular activity.</w:t>
      </w:r>
    </w:p>
    <w:p>
      <w:pPr>
        <w:pStyle w:val="FirstParagraph"/>
      </w:pPr>
      <w:r>
        <w:t xml:space="preserve">Below, we’ve included a cheatsheet of some of the analysis steps you might want to do and the R code that helps you do it.</w:t>
      </w:r>
    </w:p>
    <w:bookmarkStart w:id="56"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tidyverse</w:t>
      </w:r>
      <w:r>
        <w:t xml:space="preserve"> </w:t>
      </w:r>
      <w:r>
        <w:t xml:space="preserve">package for this activity.</w:t>
      </w:r>
    </w:p>
    <w:p>
      <w:pPr>
        <w:pStyle w:val="BodyText"/>
      </w:pPr>
      <w:r>
        <w:t xml:space="preserve">Type the following into the SciServer console and press return to run the code.</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Next, we will load the package so it’s ready to use:</w:t>
      </w:r>
    </w:p>
    <w:p>
      <w:pPr>
        <w:pStyle w:val="SourceCode"/>
      </w:pPr>
      <w:r>
        <w:rPr>
          <w:rStyle w:val="FunctionTok"/>
        </w:rPr>
        <w:t xml:space="preserve">library</w:t>
      </w:r>
      <w:r>
        <w:rPr>
          <w:rStyle w:val="NormalTok"/>
        </w:rPr>
        <w:t xml:space="preserve">(tidyverse)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54" name="Picture"/>
                  <a:graphic>
                    <a:graphicData uri="http://schemas.openxmlformats.org/drawingml/2006/picture">
                      <pic:pic>
                        <pic:nvPicPr>
                          <pic:cNvPr descr="/opt/quarto/share/formats/docx/tip.png" id="55" name="Picture"/>
                          <pic:cNvPicPr>
                            <a:picLocks noChangeArrowheads="1" noChangeAspect="1"/>
                          </pic:cNvPicPr>
                        </pic:nvPicPr>
                        <pic:blipFill>
                          <a:blip r:embed="rId5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p>
            <w:pPr>
              <w:pStyle w:val="BodyText"/>
            </w:pPr>
            <w:pPr>
              <w:spacing w:after="16"/>
            </w:pPr>
            <w:r>
              <w:t xml:space="preserve">The</w:t>
            </w:r>
            <w:r>
              <w:t xml:space="preserve"> </w:t>
            </w:r>
            <w:r>
              <w:t xml:space="preserve">“</w:t>
            </w:r>
            <w:r>
              <w:t xml:space="preserve">tidyverse</w:t>
            </w:r>
            <w:r>
              <w:t xml:space="preserve">”</w:t>
            </w:r>
            <w:r>
              <w:t xml:space="preserve"> </w:t>
            </w:r>
            <w:r>
              <w:t xml:space="preserve">package that you loaded is useful for loading, wrangling, and exploring data.</w:t>
            </w:r>
          </w:p>
        </w:tc>
      </w:tr>
    </w:tbl>
    <w:bookmarkEnd w:id="56"/>
    <w:bookmarkStart w:id="67" w:name="loading-the-gene-expression-count-data"/>
    <w:p>
      <w:pPr>
        <w:pStyle w:val="Heading3"/>
      </w:pPr>
      <w:r>
        <w:t xml:space="preserve">Loading the gene expression count data</w:t>
      </w:r>
    </w:p>
    <w:p>
      <w:pPr>
        <w:pStyle w:val="FirstParagraph"/>
      </w:pPr>
      <w:r>
        <w:t xml:space="preserve">The first analyses you might want to do involve exploring dataset that shows how much each gene is expressed overall. This is the gene expression count dataset.</w:t>
      </w:r>
    </w:p>
    <w:p>
      <w:pPr>
        <w:pStyle w:val="BodyText"/>
      </w:pPr>
      <w:r>
        <w:t xml:space="preserve">You can load this dataset into R using the following code:</w:t>
      </w:r>
    </w:p>
    <w:p>
      <w:pPr>
        <w:pStyle w:val="SourceCode"/>
      </w:pPr>
      <w:r>
        <w:rPr>
          <w:rStyle w:val="NormalTok"/>
        </w:rPr>
        <w:t xml:space="preserve">gutbrain_genes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"https://genomicseducation.org/data/mouse_gutbrain_de_total_counts.csv"</w:t>
      </w:r>
      <w:r>
        <w:rPr>
          <w:rStyle w:val="NormalTok"/>
        </w:rPr>
        <w:t xml:space="preserve">)</w:t>
      </w:r>
    </w:p>
    <w:p>
      <w:pPr>
        <w:pStyle w:val="SourceCode"/>
      </w:pPr>
      <w:r>
        <w:rPr>
          <w:rStyle w:val="VerbatimChar"/>
        </w:rPr>
        <w:t xml:space="preserve">Rows: 55421 Columns: 2</w:t>
      </w:r>
      <w:r>
        <w:br/>
      </w:r>
      <w:r>
        <w:rPr>
          <w:rStyle w:val="VerbatimChar"/>
        </w:rPr>
        <w:t xml:space="preserve">── Column specification ────────────────────────────────────────────────────────</w:t>
      </w:r>
      <w:r>
        <w:br/>
      </w:r>
      <w:r>
        <w:rPr>
          <w:rStyle w:val="VerbatimChar"/>
        </w:rPr>
        <w:t xml:space="preserve">Delimiter: ","</w:t>
      </w:r>
      <w:r>
        <w:br/>
      </w:r>
      <w:r>
        <w:rPr>
          <w:rStyle w:val="VerbatimChar"/>
        </w:rPr>
        <w:t xml:space="preserve">chr (1): GeneID</w:t>
      </w:r>
      <w:r>
        <w:br/>
      </w:r>
      <w:r>
        <w:rPr>
          <w:rStyle w:val="VerbatimChar"/>
        </w:rPr>
        <w:t xml:space="preserve">dbl (1): total_counts</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This dataset has two columns: the first one is called</w:t>
      </w:r>
      <w:r>
        <w:t xml:space="preserve"> </w:t>
      </w:r>
      <w:r>
        <w:rPr>
          <w:rStyle w:val="VerbatimChar"/>
        </w:rPr>
        <w:t xml:space="preserve">GeneID</w:t>
      </w:r>
      <w:r>
        <w:t xml:space="preserve"> </w:t>
      </w:r>
      <w:r>
        <w:t xml:space="preserve">and has the MGI gene IDs, while the second one is called</w:t>
      </w:r>
      <w:r>
        <w:t xml:space="preserve"> </w:t>
      </w:r>
      <w:r>
        <w:rPr>
          <w:rStyle w:val="VerbatimChar"/>
        </w:rPr>
        <w:t xml:space="preserve">total_counts</w:t>
      </w:r>
      <w:r>
        <w:t xml:space="preserve"> </w:t>
      </w:r>
      <w:r>
        <w:t xml:space="preserve">and contains the total number of times each gene was expressed across all the samples.</w:t>
      </w:r>
    </w:p>
    <w:bookmarkStart w:id="57" w:name="examining-count-data"/>
    <w:p>
      <w:pPr>
        <w:pStyle w:val="Heading4"/>
      </w:pPr>
      <w:r>
        <w:t xml:space="preserve">Examining count data</w:t>
      </w:r>
    </w:p>
    <w:p>
      <w:pPr>
        <w:pStyle w:val="FirstParagraph"/>
      </w:pPr>
      <w:r>
        <w:t xml:space="preserve">When you first open the gene expression data, you want to verify that the data has loaded correctly. You can do this with the</w:t>
      </w:r>
      <w:r>
        <w:t xml:space="preserve"> </w:t>
      </w:r>
      <w:r>
        <w:rPr>
          <w:rStyle w:val="VerbatimChar"/>
        </w:rPr>
        <w:t xml:space="preserve">head</w:t>
      </w:r>
      <w:r>
        <w:t xml:space="preserve"> </w:t>
      </w:r>
      <w:r>
        <w:t xml:space="preserve">and</w:t>
      </w:r>
      <w:r>
        <w:t xml:space="preserve"> </w:t>
      </w:r>
      <w:r>
        <w:rPr>
          <w:rStyle w:val="VerbatimChar"/>
        </w:rPr>
        <w:t xml:space="preserve">tail</w:t>
      </w:r>
      <w:r>
        <w:t xml:space="preserve"> </w:t>
      </w:r>
      <w:r>
        <w:t xml:space="preserve">commands. Remember,</w:t>
      </w:r>
      <w:r>
        <w:t xml:space="preserve"> </w:t>
      </w:r>
      <w:r>
        <w:rPr>
          <w:rStyle w:val="VerbatimChar"/>
        </w:rPr>
        <w:t xml:space="preserve">head</w:t>
      </w:r>
      <w:r>
        <w:t xml:space="preserve"> </w:t>
      </w:r>
      <w:r>
        <w:t xml:space="preserve">prints the first 6 rows of a dataset, while</w:t>
      </w:r>
      <w:r>
        <w:t xml:space="preserve"> </w:t>
      </w:r>
      <w:r>
        <w:rPr>
          <w:rStyle w:val="VerbatimChar"/>
        </w:rPr>
        <w:t xml:space="preserve">tail</w:t>
      </w:r>
      <w:r>
        <w:t xml:space="preserve"> </w:t>
      </w:r>
      <w:r>
        <w:t xml:space="preserve">prints the last 6 rows.</w:t>
      </w:r>
    </w:p>
    <w:p>
      <w:pPr>
        <w:pStyle w:val="SourceCode"/>
      </w:pPr>
      <w:r>
        <w:rPr>
          <w:rStyle w:val="FunctionTok"/>
        </w:rPr>
        <w:t xml:space="preserve">head</w:t>
      </w:r>
      <w:r>
        <w:rPr>
          <w:rStyle w:val="NormalTok"/>
        </w:rPr>
        <w:t xml:space="preserve">(gutbrain_genes)</w:t>
      </w:r>
    </w:p>
    <w:p>
      <w:pPr>
        <w:pStyle w:val="SourceCode"/>
      </w:pPr>
      <w:r>
        <w:rPr>
          <w:rStyle w:val="VerbatimChar"/>
        </w:rPr>
        <w:t xml:space="preserve"># A tibble: 6 × 2</w:t>
      </w:r>
      <w:r>
        <w:br/>
      </w:r>
      <w:r>
        <w:rPr>
          <w:rStyle w:val="VerbatimChar"/>
        </w:rPr>
        <w:t xml:space="preserve">  GeneID             total_counts</w:t>
      </w:r>
      <w:r>
        <w:br/>
      </w:r>
      <w:r>
        <w:rPr>
          <w:rStyle w:val="VerbatimChar"/>
        </w:rPr>
        <w:t xml:space="preserve">  &lt;chr&gt;                     &lt;dbl&gt;</w:t>
      </w:r>
      <w:r>
        <w:br/>
      </w:r>
      <w:r>
        <w:rPr>
          <w:rStyle w:val="VerbatimChar"/>
        </w:rPr>
        <w:t xml:space="preserve">1 ENSMUSG00000079800          138</w:t>
      </w:r>
      <w:r>
        <w:br/>
      </w:r>
      <w:r>
        <w:rPr>
          <w:rStyle w:val="VerbatimChar"/>
        </w:rPr>
        <w:t xml:space="preserve">2 ENSMUSG00000095092            0</w:t>
      </w:r>
      <w:r>
        <w:br/>
      </w:r>
      <w:r>
        <w:rPr>
          <w:rStyle w:val="VerbatimChar"/>
        </w:rPr>
        <w:t xml:space="preserve">3 ENSMUSG00000079192            0</w:t>
      </w:r>
      <w:r>
        <w:br/>
      </w:r>
      <w:r>
        <w:rPr>
          <w:rStyle w:val="VerbatimChar"/>
        </w:rPr>
        <w:t xml:space="preserve">4 ENSMUSG00000079794          166</w:t>
      </w:r>
      <w:r>
        <w:br/>
      </w:r>
      <w:r>
        <w:rPr>
          <w:rStyle w:val="VerbatimChar"/>
        </w:rPr>
        <w:t xml:space="preserve">5 ENSMUSG00000094799            0</w:t>
      </w:r>
      <w:r>
        <w:br/>
      </w:r>
      <w:r>
        <w:rPr>
          <w:rStyle w:val="VerbatimChar"/>
        </w:rPr>
        <w:t xml:space="preserve">6 ENSMUSG00000095250           39</w:t>
      </w:r>
    </w:p>
    <w:p>
      <w:pPr>
        <w:pStyle w:val="SourceCode"/>
      </w:pPr>
      <w:r>
        <w:rPr>
          <w:rStyle w:val="FunctionTok"/>
        </w:rPr>
        <w:t xml:space="preserve">tail</w:t>
      </w:r>
      <w:r>
        <w:rPr>
          <w:rStyle w:val="NormalTok"/>
        </w:rPr>
        <w:t xml:space="preserve">(gutbrain_genes)</w:t>
      </w:r>
    </w:p>
    <w:p>
      <w:pPr>
        <w:pStyle w:val="SourceCode"/>
      </w:pPr>
      <w:r>
        <w:rPr>
          <w:rStyle w:val="VerbatimChar"/>
        </w:rPr>
        <w:t xml:space="preserve"># A tibble: 6 × 2</w:t>
      </w:r>
      <w:r>
        <w:br/>
      </w:r>
      <w:r>
        <w:rPr>
          <w:rStyle w:val="VerbatimChar"/>
        </w:rPr>
        <w:t xml:space="preserve">  GeneID             total_counts</w:t>
      </w:r>
      <w:r>
        <w:br/>
      </w:r>
      <w:r>
        <w:rPr>
          <w:rStyle w:val="VerbatimChar"/>
        </w:rPr>
        <w:t xml:space="preserve">  &lt;chr&gt;                     &lt;dbl&gt;</w:t>
      </w:r>
      <w:r>
        <w:br/>
      </w:r>
      <w:r>
        <w:rPr>
          <w:rStyle w:val="VerbatimChar"/>
        </w:rPr>
        <w:t xml:space="preserve">1 ENSMUSG00000099399            0</w:t>
      </w:r>
      <w:r>
        <w:br/>
      </w:r>
      <w:r>
        <w:rPr>
          <w:rStyle w:val="VerbatimChar"/>
        </w:rPr>
        <w:t xml:space="preserve">2 ENSMUSG00000095366      1579544</w:t>
      </w:r>
      <w:r>
        <w:br/>
      </w:r>
      <w:r>
        <w:rPr>
          <w:rStyle w:val="VerbatimChar"/>
        </w:rPr>
        <w:t xml:space="preserve">3 ENSMUSG00000095134       593144</w:t>
      </w:r>
      <w:r>
        <w:br/>
      </w:r>
      <w:r>
        <w:rPr>
          <w:rStyle w:val="VerbatimChar"/>
        </w:rPr>
        <w:t xml:space="preserve">4 ENSMUSG00000096768      9707655</w:t>
      </w:r>
      <w:r>
        <w:br/>
      </w:r>
      <w:r>
        <w:rPr>
          <w:rStyle w:val="VerbatimChar"/>
        </w:rPr>
        <w:t xml:space="preserve">5 ENSMUSG00000096850        14394</w:t>
      </w:r>
      <w:r>
        <w:br/>
      </w:r>
      <w:r>
        <w:rPr>
          <w:rStyle w:val="VerbatimChar"/>
        </w:rPr>
        <w:t xml:space="preserve">6 ENSMUSG00000099871       296403</w:t>
      </w:r>
    </w:p>
    <w:bookmarkEnd w:id="57"/>
    <w:bookmarkStart w:id="58" w:name="summarizing-data"/>
    <w:p>
      <w:pPr>
        <w:pStyle w:val="Heading4"/>
      </w:pPr>
      <w:r>
        <w:t xml:space="preserve">Summarizing data</w:t>
      </w:r>
    </w:p>
    <w:p>
      <w:pPr>
        <w:pStyle w:val="FirstParagraph"/>
      </w:pPr>
      <w:r>
        <w:t xml:space="preserve">You may want to explore the distribution of your count data using</w:t>
      </w:r>
      <w:r>
        <w:t xml:space="preserve"> </w:t>
      </w:r>
      <w:r>
        <w:rPr>
          <w:rStyle w:val="VerbatimChar"/>
        </w:rPr>
        <w:t xml:space="preserve">summary</w:t>
      </w:r>
      <w:r>
        <w:t xml:space="preserve">. This command lets you see the mean, median, minimum, and maximum for each numeric column.</w:t>
      </w:r>
    </w:p>
    <w:p>
      <w:pPr>
        <w:pStyle w:val="SourceCode"/>
      </w:pPr>
      <w:r>
        <w:rPr>
          <w:rStyle w:val="FunctionTok"/>
        </w:rPr>
        <w:t xml:space="preserve">summary</w:t>
      </w:r>
      <w:r>
        <w:rPr>
          <w:rStyle w:val="NormalTok"/>
        </w:rPr>
        <w:t xml:space="preserve">(gutbrain_genes)</w:t>
      </w:r>
    </w:p>
    <w:p>
      <w:pPr>
        <w:pStyle w:val="SourceCode"/>
      </w:pPr>
      <w:r>
        <w:rPr>
          <w:rStyle w:val="VerbatimChar"/>
        </w:rPr>
        <w:t xml:space="preserve">    GeneID           total_counts      </w:t>
      </w:r>
      <w:r>
        <w:br/>
      </w:r>
      <w:r>
        <w:rPr>
          <w:rStyle w:val="VerbatimChar"/>
        </w:rPr>
        <w:t xml:space="preserve"> Length:55421       Min.   :0.000e+00  </w:t>
      </w:r>
      <w:r>
        <w:br/>
      </w:r>
      <w:r>
        <w:rPr>
          <w:rStyle w:val="VerbatimChar"/>
        </w:rPr>
        <w:t xml:space="preserve"> Class :character   1st Qu.:9.600e+01  </w:t>
      </w:r>
      <w:r>
        <w:br/>
      </w:r>
      <w:r>
        <w:rPr>
          <w:rStyle w:val="VerbatimChar"/>
        </w:rPr>
        <w:t xml:space="preserve"> Mode  :character   Median :6.666e+03  </w:t>
      </w:r>
      <w:r>
        <w:br/>
      </w:r>
      <w:r>
        <w:rPr>
          <w:rStyle w:val="VerbatimChar"/>
        </w:rPr>
        <w:t xml:space="preserve">                    Mean   :4.130e+06  </w:t>
      </w:r>
      <w:r>
        <w:br/>
      </w:r>
      <w:r>
        <w:rPr>
          <w:rStyle w:val="VerbatimChar"/>
        </w:rPr>
        <w:t xml:space="preserve">                    3rd Qu.:7.888e+05  </w:t>
      </w:r>
      <w:r>
        <w:br/>
      </w:r>
      <w:r>
        <w:rPr>
          <w:rStyle w:val="VerbatimChar"/>
        </w:rPr>
        <w:t xml:space="preserve">                    Max.   :7.732e+09  </w:t>
      </w:r>
    </w:p>
    <w:p>
      <w:pPr>
        <w:pStyle w:val="FirstParagraph"/>
      </w:pPr>
      <w:r>
        <w:t xml:space="preserve">You can also find the total number of reads in the dataset.</w:t>
      </w:r>
    </w:p>
    <w:p>
      <w:pPr>
        <w:pStyle w:val="SourceCode"/>
      </w:pPr>
      <w:r>
        <w:rPr>
          <w:rStyle w:val="FunctionTok"/>
        </w:rPr>
        <w:t xml:space="preserve">sum</w:t>
      </w:r>
      <w:r>
        <w:rPr>
          <w:rStyle w:val="NormalTok"/>
        </w:rPr>
        <w:t xml:space="preserve">(gutbrain_genes</w:t>
      </w:r>
      <w:r>
        <w:rPr>
          <w:rStyle w:val="SpecialCharTok"/>
        </w:rPr>
        <w:t xml:space="preserve">$</w:t>
      </w:r>
      <w:r>
        <w:rPr>
          <w:rStyle w:val="NormalTok"/>
        </w:rPr>
        <w:t xml:space="preserve">total_counts)</w:t>
      </w:r>
    </w:p>
    <w:p>
      <w:pPr>
        <w:pStyle w:val="SourceCode"/>
      </w:pPr>
      <w:r>
        <w:rPr>
          <w:rStyle w:val="VerbatimChar"/>
        </w:rPr>
        <w:t xml:space="preserve">[1] 2.28913e+11</w:t>
      </w:r>
    </w:p>
    <w:bookmarkEnd w:id="58"/>
    <w:bookmarkStart w:id="65" w:name="X5732395cca3e464c57bac8c28d5477884ad8602"/>
    <w:p>
      <w:pPr>
        <w:pStyle w:val="Heading4"/>
      </w:pPr>
      <w:r>
        <w:t xml:space="preserve">Plotting histograms and dealing with zero counts</w:t>
      </w:r>
    </w:p>
    <w:p>
      <w:pPr>
        <w:pStyle w:val="FirstParagraph"/>
      </w:pPr>
      <w:r>
        <w:t xml:space="preserve">A histogram is a good way to visually explore the distribution of the read counts, as well as get an idea of how many genes have few or no reads. Use a log10 scale on the x-axis.</w:t>
      </w:r>
    </w:p>
    <w:p>
      <w:pPr>
        <w:pStyle w:val="SourceCode"/>
      </w:pPr>
      <w:r>
        <w:rPr>
          <w:rStyle w:val="FunctionTok"/>
        </w:rPr>
        <w:t xml:space="preserve">hist</w:t>
      </w:r>
      <w:r>
        <w:rPr>
          <w:rStyle w:val="NormalTok"/>
        </w:rPr>
        <w:t xml:space="preserve">(</w:t>
      </w:r>
      <w:r>
        <w:rPr>
          <w:rStyle w:val="FunctionTok"/>
        </w:rPr>
        <w:t xml:space="preserve">log10</w:t>
      </w:r>
      <w:r>
        <w:rPr>
          <w:rStyle w:val="NormalTok"/>
        </w:rPr>
        <w:t xml:space="preserve">(gutbrain_genes</w:t>
      </w:r>
      <w:r>
        <w:rPr>
          <w:rStyle w:val="SpecialCharTok"/>
        </w:rPr>
        <w:t xml:space="preserve">$</w:t>
      </w:r>
      <w:r>
        <w:rPr>
          <w:rStyle w:val="NormalTok"/>
        </w:rPr>
        <w:t xml:space="preserve">total_counts), </w:t>
      </w:r>
      <w:r>
        <w:rPr>
          <w:rStyle w:val="AttributeTok"/>
        </w:rPr>
        <w:t xml:space="preserve">main=</w:t>
      </w:r>
      <w:r>
        <w:rPr>
          <w:rStyle w:val="StringTok"/>
        </w:rPr>
        <w:t xml:space="preserve">"Log10 Read Counts for Mouse RNA-seq sample"</w:t>
      </w:r>
      <w:r>
        <w:rPr>
          <w:rStyle w:val="NormalTok"/>
        </w:rPr>
        <w:t xml:space="preserve">)</w:t>
      </w:r>
    </w:p>
    <w:p>
      <w:pPr>
        <w:pStyle w:val="FirstParagraph"/>
      </w:pPr>
      <w:r>
        <w:drawing>
          <wp:inline>
            <wp:extent cx="4620126" cy="3696101"/>
            <wp:effectExtent b="0" l="0" r="0" t="0"/>
            <wp:docPr descr="" title="" id="60" name="Picture"/>
            <a:graphic>
              <a:graphicData uri="http://schemas.openxmlformats.org/drawingml/2006/picture">
                <pic:pic>
                  <pic:nvPicPr>
                    <pic:cNvPr descr="resources/images/mouse_gutbrain_de_independent_guide_files/figure-docx/unnamed-chunk-15-1.png" id="61"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may choose to deal with zero-count genes by adding 0.1 to each count before the log10 transformation.</w:t>
      </w:r>
    </w:p>
    <w:p>
      <w:pPr>
        <w:pStyle w:val="SourceCode"/>
      </w:pPr>
      <w:r>
        <w:rPr>
          <w:rStyle w:val="NormalTok"/>
        </w:rPr>
        <w:t xml:space="preserve">gutbrain_genes</w:t>
      </w:r>
      <w:r>
        <w:rPr>
          <w:rStyle w:val="SpecialCharTok"/>
        </w:rPr>
        <w:t xml:space="preserve">$</w:t>
      </w:r>
      <w:r>
        <w:rPr>
          <w:rStyle w:val="NormalTok"/>
        </w:rPr>
        <w:t xml:space="preserve">total_counts_trans </w:t>
      </w:r>
      <w:r>
        <w:rPr>
          <w:rStyle w:val="OtherTok"/>
        </w:rPr>
        <w:t xml:space="preserve">&lt;-</w:t>
      </w:r>
      <w:r>
        <w:rPr>
          <w:rStyle w:val="NormalTok"/>
        </w:rPr>
        <w:t xml:space="preserve"> gutbrain_genes</w:t>
      </w:r>
      <w:r>
        <w:rPr>
          <w:rStyle w:val="SpecialCharTok"/>
        </w:rPr>
        <w:t xml:space="preserve">$</w:t>
      </w:r>
      <w:r>
        <w:rPr>
          <w:rStyle w:val="NormalTok"/>
        </w:rPr>
        <w:t xml:space="preserve">total_counts </w:t>
      </w:r>
      <w:r>
        <w:rPr>
          <w:rStyle w:val="SpecialCharTok"/>
        </w:rPr>
        <w:t xml:space="preserve">+</w:t>
      </w:r>
      <w:r>
        <w:rPr>
          <w:rStyle w:val="NormalTok"/>
        </w:rPr>
        <w:t xml:space="preserve"> </w:t>
      </w:r>
      <w:r>
        <w:rPr>
          <w:rStyle w:val="FloatTok"/>
        </w:rPr>
        <w:t xml:space="preserve">0.1</w:t>
      </w:r>
      <w:r>
        <w:br/>
      </w:r>
      <w:r>
        <w:br/>
      </w:r>
      <w:r>
        <w:rPr>
          <w:rStyle w:val="FunctionTok"/>
        </w:rPr>
        <w:t xml:space="preserve">hist</w:t>
      </w:r>
      <w:r>
        <w:rPr>
          <w:rStyle w:val="NormalTok"/>
        </w:rPr>
        <w:t xml:space="preserve">(</w:t>
      </w:r>
      <w:r>
        <w:rPr>
          <w:rStyle w:val="FunctionTok"/>
        </w:rPr>
        <w:t xml:space="preserve">log10</w:t>
      </w:r>
      <w:r>
        <w:rPr>
          <w:rStyle w:val="NormalTok"/>
        </w:rPr>
        <w:t xml:space="preserve">(gutbrain_genes</w:t>
      </w:r>
      <w:r>
        <w:rPr>
          <w:rStyle w:val="SpecialCharTok"/>
        </w:rPr>
        <w:t xml:space="preserve">$</w:t>
      </w:r>
      <w:r>
        <w:rPr>
          <w:rStyle w:val="NormalTok"/>
        </w:rPr>
        <w:t xml:space="preserve">total_counts_trans), </w:t>
      </w:r>
      <w:r>
        <w:rPr>
          <w:rStyle w:val="AttributeTok"/>
        </w:rPr>
        <w:t xml:space="preserve">main=</w:t>
      </w:r>
      <w:r>
        <w:rPr>
          <w:rStyle w:val="StringTok"/>
        </w:rPr>
        <w:t xml:space="preserve">"Transformed Log10 Read Counts for Mouse RNA-seq sample"</w:t>
      </w:r>
      <w:r>
        <w:rPr>
          <w:rStyle w:val="NormalTok"/>
        </w:rPr>
        <w:t xml:space="preserve">)</w:t>
      </w:r>
    </w:p>
    <w:p>
      <w:pPr>
        <w:pStyle w:val="FirstParagraph"/>
      </w:pPr>
      <w:r>
        <w:drawing>
          <wp:inline>
            <wp:extent cx="4620126" cy="3696101"/>
            <wp:effectExtent b="0" l="0" r="0" t="0"/>
            <wp:docPr descr="" title="" id="63" name="Picture"/>
            <a:graphic>
              <a:graphicData uri="http://schemas.openxmlformats.org/drawingml/2006/picture">
                <pic:pic>
                  <pic:nvPicPr>
                    <pic:cNvPr descr="resources/images/mouse_gutbrain_de_independent_guide_files/figure-docx/unnamed-chunk-16-1.png" id="64"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bookmarkEnd w:id="65"/>
    <w:bookmarkStart w:id="66" w:name="looking-at-read-count-for-a-single-gene"/>
    <w:p>
      <w:pPr>
        <w:pStyle w:val="Heading4"/>
      </w:pPr>
      <w:r>
        <w:t xml:space="preserve">Looking at read count for a single gene</w:t>
      </w:r>
    </w:p>
    <w:p>
      <w:pPr>
        <w:pStyle w:val="FirstParagraph"/>
      </w:pPr>
      <w:r>
        <w:t xml:space="preserve">You may want to look at the read count for a specific gene in your dataset. This can be done with the</w:t>
      </w:r>
      <w:r>
        <w:t xml:space="preserve"> </w:t>
      </w:r>
      <w:r>
        <w:rPr>
          <w:rStyle w:val="VerbatimChar"/>
        </w:rPr>
        <w:t xml:space="preserve">filter</w:t>
      </w:r>
      <w:r>
        <w:t xml:space="preserve"> </w:t>
      </w:r>
      <w:r>
        <w:t xml:space="preserve">command. Let’s look at the read counts for the reg3a gene, which we looked up earlier in the MGI database. The MGI gene ID is</w:t>
      </w:r>
      <w:r>
        <w:t xml:space="preserve"> </w:t>
      </w:r>
      <w:r>
        <w:t xml:space="preserve">“</w:t>
      </w:r>
      <w:r>
        <w:t xml:space="preserve">ENSMUSG00000079516</w:t>
      </w:r>
      <w:r>
        <w:t xml:space="preserve">”</w:t>
      </w:r>
      <w:r>
        <w:t xml:space="preserve">.</w:t>
      </w:r>
    </w:p>
    <w:p>
      <w:pPr>
        <w:pStyle w:val="SourceCode"/>
      </w:pPr>
      <w:r>
        <w:rPr>
          <w:rStyle w:val="FunctionTok"/>
        </w:rPr>
        <w:t xml:space="preserve">filter</w:t>
      </w:r>
      <w:r>
        <w:rPr>
          <w:rStyle w:val="NormalTok"/>
        </w:rPr>
        <w:t xml:space="preserve">(gutbrain_genes, gene </w:t>
      </w:r>
      <w:r>
        <w:rPr>
          <w:rStyle w:val="SpecialCharTok"/>
        </w:rPr>
        <w:t xml:space="preserve">==</w:t>
      </w:r>
      <w:r>
        <w:rPr>
          <w:rStyle w:val="NormalTok"/>
        </w:rPr>
        <w:t xml:space="preserve"> </w:t>
      </w:r>
      <w:r>
        <w:rPr>
          <w:rStyle w:val="StringTok"/>
        </w:rPr>
        <w:t xml:space="preserve">"ENSMUSG00000079516"</w:t>
      </w:r>
      <w:r>
        <w:rPr>
          <w:rStyle w:val="NormalTok"/>
        </w:rPr>
        <w:t xml:space="preserve">)</w:t>
      </w:r>
    </w:p>
    <w:bookmarkEnd w:id="66"/>
    <w:bookmarkEnd w:id="67"/>
    <w:bookmarkStart w:id="83" w:name="loading-the-differential-expression-data"/>
    <w:p>
      <w:pPr>
        <w:pStyle w:val="Heading3"/>
      </w:pPr>
      <w:r>
        <w:t xml:space="preserve">Loading the differential expression data</w:t>
      </w:r>
    </w:p>
    <w:p>
      <w:pPr>
        <w:pStyle w:val="FirstParagraph"/>
      </w:pPr>
      <w:r>
        <w:t xml:space="preserve">You have the option to look at gene expression in control vs ASD mice, as well as gene expression in both striatum and prefrontal cortex. All the mice were male and sacrificed at the same age (45 days).</w:t>
      </w:r>
    </w:p>
    <w:p>
      <w:pPr>
        <w:pStyle w:val="BodyText"/>
      </w:pPr>
      <w:r>
        <w:t xml:space="preserve">Additionally, you can look at gene expression in striatum vs prefrontal cortex in only ASD mice or only control mice. Likewise, you also have the option of looking at gene expression in ASD and control mice, focusing only on striatum or only on prefrontal cortex.</w:t>
      </w:r>
    </w:p>
    <w:p>
      <w:pPr>
        <w:pStyle w:val="BodyText"/>
      </w:pPr>
      <w:r>
        <w:t xml:space="preserve">Let’s say you want to open the dataset that compares gene expression between ASD and control mice in both brain regions and call it</w:t>
      </w:r>
      <w:r>
        <w:t xml:space="preserve"> </w:t>
      </w:r>
      <w:r>
        <w:rPr>
          <w:rStyle w:val="VerbatimChar"/>
        </w:rPr>
        <w:t xml:space="preserve">asd_vs_c</w:t>
      </w:r>
      <w:r>
        <w:t xml:space="preserve">. We will do this using</w:t>
      </w:r>
      <w:r>
        <w:t xml:space="preserve"> </w:t>
      </w:r>
      <w:r>
        <w:rPr>
          <w:rStyle w:val="VerbatimChar"/>
        </w:rPr>
        <w:t xml:space="preserve">read_csv</w:t>
      </w:r>
      <w:r>
        <w:t xml:space="preserve">. Copy and paste this command into your console:</w:t>
      </w:r>
    </w:p>
    <w:p>
      <w:pPr>
        <w:pStyle w:val="SourceCode"/>
      </w:pPr>
      <w:r>
        <w:rPr>
          <w:rStyle w:val="NormalTok"/>
        </w:rPr>
        <w:t xml:space="preserve">asd_vs_c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"https://genomicseducation.org/data/mouse_gutbrain_de_autismVcontrol.csv"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Here are the URLs for all the possible comparisons you can examine with this dataset:</w:t>
      </w:r>
    </w:p>
    <w:p>
      <w:pPr>
        <w:pStyle w:val="BodyText"/>
      </w:pPr>
      <w:r>
        <w:rPr>
          <w:b/>
          <w:bCs/>
        </w:rPr>
        <w:t xml:space="preserve">Comparing gene expression between ASD and control mice</w:t>
      </w:r>
    </w:p>
    <w:p>
      <w:pPr>
        <w:pStyle w:val="BodyText"/>
      </w:pPr>
      <w:r>
        <w:t xml:space="preserve">Both brain regions:</w:t>
      </w:r>
      <w:r>
        <w:t xml:space="preserve"> </w:t>
      </w:r>
      <w:hyperlink r:id="rId68">
        <w:r>
          <w:rPr>
            <w:rStyle w:val="Hyperlink"/>
          </w:rPr>
          <w:t xml:space="preserve">https://genomicseducation.org/data/mouse_gutbrain_de_autismVcontrol.csv</w:t>
        </w:r>
      </w:hyperlink>
    </w:p>
    <w:p>
      <w:pPr>
        <w:pStyle w:val="BodyText"/>
      </w:pPr>
      <w:r>
        <w:t xml:space="preserve">Prefrontal cortex only:</w:t>
      </w:r>
      <w:r>
        <w:t xml:space="preserve"> </w:t>
      </w:r>
      <w:hyperlink r:id="rId69">
        <w:r>
          <w:rPr>
            <w:rStyle w:val="Hyperlink"/>
          </w:rPr>
          <w:t xml:space="preserve">https://genomicseducation.org/data/mouse_gutbrain_de_autismVcontrol_in_prefrontalcortex.csv</w:t>
        </w:r>
      </w:hyperlink>
    </w:p>
    <w:p>
      <w:pPr>
        <w:pStyle w:val="BodyText"/>
      </w:pPr>
      <w:r>
        <w:t xml:space="preserve">Striatum only:</w:t>
      </w:r>
      <w:r>
        <w:t xml:space="preserve"> </w:t>
      </w:r>
      <w:hyperlink r:id="rId70">
        <w:r>
          <w:rPr>
            <w:rStyle w:val="Hyperlink"/>
          </w:rPr>
          <w:t xml:space="preserve">https://genomicseducation.org/data/mouse_gutbrain_de_autismVcontrol_in_striatum.csv</w:t>
        </w:r>
      </w:hyperlink>
    </w:p>
    <w:p>
      <w:pPr>
        <w:pStyle w:val="BodyText"/>
      </w:pPr>
      <w:r>
        <w:rPr>
          <w:b/>
          <w:bCs/>
        </w:rPr>
        <w:t xml:space="preserve">Comparing gene expression between prefrontal cortex and striatum</w:t>
      </w:r>
    </w:p>
    <w:p>
      <w:pPr>
        <w:pStyle w:val="BodyText"/>
      </w:pPr>
      <w:r>
        <w:t xml:space="preserve">All mice:</w:t>
      </w:r>
      <w:r>
        <w:t xml:space="preserve"> </w:t>
      </w:r>
      <w:hyperlink r:id="rId71">
        <w:r>
          <w:rPr>
            <w:rStyle w:val="Hyperlink"/>
          </w:rPr>
          <w:t xml:space="preserve">https://genomicseducation.org/data/mouse_gutbrain_de_tissuetype.csv</w:t>
        </w:r>
      </w:hyperlink>
    </w:p>
    <w:p>
      <w:pPr>
        <w:pStyle w:val="BodyText"/>
      </w:pPr>
      <w:r>
        <w:t xml:space="preserve">Only ASD mice:</w:t>
      </w:r>
      <w:r>
        <w:t xml:space="preserve"> </w:t>
      </w:r>
      <w:hyperlink r:id="rId72">
        <w:r>
          <w:rPr>
            <w:rStyle w:val="Hyperlink"/>
          </w:rPr>
          <w:t xml:space="preserve">https://genomicseducation.org/data/mouse_gutbrain_de_tissuetype_in_ASDmice.csv</w:t>
        </w:r>
      </w:hyperlink>
    </w:p>
    <w:p>
      <w:pPr>
        <w:pStyle w:val="BodyText"/>
      </w:pPr>
      <w:r>
        <w:t xml:space="preserve">Only control mice:</w:t>
      </w:r>
      <w:r>
        <w:t xml:space="preserve"> </w:t>
      </w:r>
      <w:hyperlink r:id="rId73">
        <w:r>
          <w:rPr>
            <w:rStyle w:val="Hyperlink"/>
          </w:rPr>
          <w:t xml:space="preserve">https://genomicseducation.org/data/mouse_gutbrain_de_tissuetype_in_controlmice.csv</w:t>
        </w:r>
      </w:hyperlink>
    </w:p>
    <w:bookmarkStart w:id="74" w:name="arranging-dataset-based-on-padj"/>
    <w:p>
      <w:pPr>
        <w:pStyle w:val="Heading4"/>
      </w:pPr>
      <w:r>
        <w:t xml:space="preserve">Arranging dataset based on padj</w:t>
      </w:r>
    </w:p>
    <w:p>
      <w:pPr>
        <w:pStyle w:val="FirstParagraph"/>
      </w:pPr>
      <w:r>
        <w:t xml:space="preserve">You may be interested in identifying the genes that have been differentially expressed between your two groups (in this case, ASD mouse brains and control mouse brains). You can use the</w:t>
      </w:r>
      <w:r>
        <w:t xml:space="preserve"> </w:t>
      </w:r>
      <w:r>
        <w:rPr>
          <w:rStyle w:val="VerbatimChar"/>
        </w:rPr>
        <w:t xml:space="preserve">arrange</w:t>
      </w:r>
      <w:r>
        <w:t xml:space="preserve"> </w:t>
      </w:r>
      <w:r>
        <w:t xml:space="preserve">command to sort the results to put the smallest padj values first.</w:t>
      </w:r>
    </w:p>
    <w:p>
      <w:pPr>
        <w:pStyle w:val="SourceCode"/>
      </w:pPr>
      <w:r>
        <w:rPr>
          <w:rStyle w:val="NormalTok"/>
        </w:rPr>
        <w:t xml:space="preserve">asd_vs_c_sorted </w:t>
      </w:r>
      <w:r>
        <w:rPr>
          <w:rStyle w:val="OtherTok"/>
        </w:rPr>
        <w:t xml:space="preserve">&lt;-</w:t>
      </w:r>
      <w:r>
        <w:rPr>
          <w:rStyle w:val="NormalTok"/>
        </w:rPr>
        <w:t xml:space="preserve"> </w:t>
      </w:r>
      <w:r>
        <w:rPr>
          <w:rStyle w:val="FunctionTok"/>
        </w:rPr>
        <w:t xml:space="preserve">arrange</w:t>
      </w:r>
      <w:r>
        <w:rPr>
          <w:rStyle w:val="NormalTok"/>
        </w:rPr>
        <w:t xml:space="preserve">(asd_vs_c, padj)</w:t>
      </w:r>
      <w:r>
        <w:br/>
      </w:r>
      <w:r>
        <w:rPr>
          <w:rStyle w:val="FunctionTok"/>
        </w:rPr>
        <w:t xml:space="preserve">head</w:t>
      </w:r>
      <w:r>
        <w:rPr>
          <w:rStyle w:val="NormalTok"/>
        </w:rPr>
        <w:t xml:space="preserve">(asd_vs_c_sorted)</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ENSMUSG00000089657     16.9          -25.5  1.81 -14.1 2.18e-45 7.29e-41</w:t>
      </w:r>
      <w:r>
        <w:br/>
      </w:r>
      <w:r>
        <w:rPr>
          <w:rStyle w:val="VerbatimChar"/>
        </w:rPr>
        <w:t xml:space="preserve">2 ENSMUSG00000083812     14.6          -25.4  1.80 -14.1 3.82e-45 7.29e-41</w:t>
      </w:r>
      <w:r>
        <w:br/>
      </w:r>
      <w:r>
        <w:rPr>
          <w:rStyle w:val="VerbatimChar"/>
        </w:rPr>
        <w:t xml:space="preserve">3 ENSMUSG00000094151     11.2          -25.0  1.79 -14.0 2.97e-44 3.77e-40</w:t>
      </w:r>
      <w:r>
        <w:br/>
      </w:r>
      <w:r>
        <w:rPr>
          <w:rStyle w:val="VerbatimChar"/>
        </w:rPr>
        <w:t xml:space="preserve">4 ENSMUSG00000102414     14.9          -25.4  1.89 -13.4 4.00e-41 3.81e-37</w:t>
      </w:r>
      <w:r>
        <w:br/>
      </w:r>
      <w:r>
        <w:rPr>
          <w:rStyle w:val="VerbatimChar"/>
        </w:rPr>
        <w:t xml:space="preserve">5 ENSMUSG00000074445     11.5          -25.0  1.89 -13.3 3.44e-40 2.62e-36</w:t>
      </w:r>
      <w:r>
        <w:br/>
      </w:r>
      <w:r>
        <w:rPr>
          <w:rStyle w:val="VerbatimChar"/>
        </w:rPr>
        <w:t xml:space="preserve">6 ENSMUSG00000053773     10.6          -24.9  1.99 -12.5 6.66e-36 4.23e-32</w:t>
      </w:r>
    </w:p>
    <w:bookmarkEnd w:id="74"/>
    <w:bookmarkStart w:id="78" w:name="creating-a-volcano-plot"/>
    <w:p>
      <w:pPr>
        <w:pStyle w:val="Heading4"/>
      </w:pPr>
      <w:r>
        <w:t xml:space="preserve">Creating a volcano plot</w:t>
      </w:r>
    </w:p>
    <w:p>
      <w:pPr>
        <w:pStyle w:val="FirstParagraph"/>
      </w:pPr>
      <w:r>
        <w:t xml:space="preserve">A volcano plot is a great way to visualize differential gene expression between two datasets. These types of plots have</w:t>
      </w:r>
      <w:r>
        <w:t xml:space="preserve"> </w:t>
      </w:r>
      <w:r>
        <w:rPr>
          <w:rStyle w:val="VerbatimChar"/>
        </w:rPr>
        <w:t xml:space="preserve">log2FoldChange</w:t>
      </w:r>
      <w:r>
        <w:t xml:space="preserve"> </w:t>
      </w:r>
      <w:r>
        <w:t xml:space="preserve">on the x-axis and a log transformed</w:t>
      </w:r>
      <w:r>
        <w:t xml:space="preserve"> </w:t>
      </w:r>
      <w:r>
        <w:rPr>
          <w:rStyle w:val="VerbatimChar"/>
        </w:rPr>
        <w:t xml:space="preserve">padj</w:t>
      </w:r>
      <w:r>
        <w:t xml:space="preserve"> </w:t>
      </w:r>
      <w:r>
        <w:t xml:space="preserve">on the y-axis.</w:t>
      </w:r>
    </w:p>
    <w:p>
      <w:pPr>
        <w:pStyle w:val="BodyText"/>
      </w:pPr>
      <w:r>
        <w:t xml:space="preserve">We will first need to do a log transformation of the</w:t>
      </w:r>
      <w:r>
        <w:t xml:space="preserve"> </w:t>
      </w:r>
      <w:r>
        <w:rPr>
          <w:rStyle w:val="VerbatimChar"/>
        </w:rPr>
        <w:t xml:space="preserve">padj</w:t>
      </w:r>
      <w:r>
        <w:t xml:space="preserve"> </w:t>
      </w:r>
      <w:r>
        <w:t xml:space="preserve">variable. We do this in order to spread our values out along the y-axis - otherwise, all the dots that represent genes will be too scrunched together.</w:t>
      </w:r>
    </w:p>
    <w:p>
      <w:pPr>
        <w:pStyle w:val="SourceCode"/>
      </w:pPr>
      <w:r>
        <w:rPr>
          <w:rStyle w:val="NormalTok"/>
        </w:rPr>
        <w:t xml:space="preserve">asd_vs_c</w:t>
      </w:r>
      <w:r>
        <w:rPr>
          <w:rStyle w:val="SpecialCharTok"/>
        </w:rPr>
        <w:t xml:space="preserve">$</w:t>
      </w:r>
      <w:r>
        <w:rPr>
          <w:rStyle w:val="NormalTok"/>
        </w:rPr>
        <w:t xml:space="preserve">padj_trans </w:t>
      </w:r>
      <w:r>
        <w:rPr>
          <w:rStyle w:val="OtherTok"/>
        </w:rPr>
        <w:t xml:space="preserve">&lt;-</w:t>
      </w:r>
      <w:r>
        <w:rPr>
          <w:rStyle w:val="NormalTok"/>
        </w:rPr>
        <w:t xml:space="preserve"> </w:t>
      </w:r>
      <w:r>
        <w:rPr>
          <w:rStyle w:val="SpecialCharTok"/>
        </w:rPr>
        <w:t xml:space="preserve">-</w:t>
      </w:r>
      <w:r>
        <w:rPr>
          <w:rStyle w:val="FunctionTok"/>
        </w:rPr>
        <w:t xml:space="preserve">log10</w:t>
      </w:r>
      <w:r>
        <w:rPr>
          <w:rStyle w:val="NormalTok"/>
        </w:rPr>
        <w:t xml:space="preserve">(asd_vs_c</w:t>
      </w:r>
      <w:r>
        <w:rPr>
          <w:rStyle w:val="SpecialCharTok"/>
        </w:rPr>
        <w:t xml:space="preserve">$</w:t>
      </w:r>
      <w:r>
        <w:rPr>
          <w:rStyle w:val="NormalTok"/>
        </w:rPr>
        <w:t xml:space="preserve">padj)</w:t>
      </w:r>
    </w:p>
    <w:p>
      <w:pPr>
        <w:pStyle w:val="FirstParagraph"/>
      </w:pPr>
      <w:r>
        <w:t xml:space="preserve">Now, we just create a scatterplot. The code for this is kind of complicated, so you will want to paste the code below into your console.</w:t>
      </w:r>
    </w:p>
    <w:p>
      <w:pPr>
        <w:pStyle w:val="BodyText"/>
      </w:pPr>
      <w:r>
        <w:t xml:space="preserve">Here’s the code for your basic volcano plot.</w:t>
      </w:r>
      <w:r>
        <w:t xml:space="preserve"> </w:t>
      </w:r>
      <w:r>
        <w:rPr>
          <w:rStyle w:val="VerbatimChar"/>
        </w:rPr>
        <w:t xml:space="preserve">data</w:t>
      </w:r>
      <w:r>
        <w:t xml:space="preserve"> </w:t>
      </w:r>
      <w:r>
        <w:t xml:space="preserve">tells R what data to use,</w:t>
      </w:r>
      <w:r>
        <w:t xml:space="preserve"> </w:t>
      </w:r>
      <w:r>
        <w:rPr>
          <w:rStyle w:val="VerbatimChar"/>
        </w:rPr>
        <w:t xml:space="preserve">x</w:t>
      </w:r>
      <w:r>
        <w:t xml:space="preserve"> </w:t>
      </w:r>
      <w:r>
        <w:t xml:space="preserve">tells R what the x-axis values should be, and</w:t>
      </w:r>
      <w:r>
        <w:t xml:space="preserve"> </w:t>
      </w:r>
      <w:r>
        <w:rPr>
          <w:rStyle w:val="VerbatimChar"/>
        </w:rPr>
        <w:t xml:space="preserve">y</w:t>
      </w:r>
      <w:r>
        <w:t xml:space="preserve"> </w:t>
      </w:r>
      <w:r>
        <w:t xml:space="preserve">tells R what the y-axis values should be. Notice that we can just use the column names for</w:t>
      </w:r>
      <w:r>
        <w:t xml:space="preserve"> </w:t>
      </w:r>
      <w:r>
        <w:rPr>
          <w:rStyle w:val="VerbatimChar"/>
        </w:rPr>
        <w:t xml:space="preserve">x</w:t>
      </w:r>
      <w:r>
        <w:t xml:space="preserve"> </w:t>
      </w:r>
      <w:r>
        <w:t xml:space="preserve">and</w:t>
      </w:r>
      <w:r>
        <w:t xml:space="preserve"> </w:t>
      </w:r>
      <w:r>
        <w:rPr>
          <w:rStyle w:val="VerbatimChar"/>
        </w:rPr>
        <w:t xml:space="preserve">y</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asd_vs_c, </w:t>
      </w:r>
      <w:r>
        <w:rPr>
          <w:rStyle w:val="FunctionTok"/>
        </w:rPr>
        <w:t xml:space="preserve">aes</w:t>
      </w:r>
      <w:r>
        <w:rPr>
          <w:rStyle w:val="NormalTok"/>
        </w:rPr>
        <w:t xml:space="preserve">(</w:t>
      </w:r>
      <w:r>
        <w:rPr>
          <w:rStyle w:val="AttributeTok"/>
        </w:rPr>
        <w:t xml:space="preserve">x =</w:t>
      </w:r>
      <w:r>
        <w:rPr>
          <w:rStyle w:val="NormalTok"/>
        </w:rPr>
        <w:t xml:space="preserve"> log2FoldChange, </w:t>
      </w:r>
      <w:r>
        <w:rPr>
          <w:rStyle w:val="AttributeTok"/>
        </w:rPr>
        <w:t xml:space="preserve">y =</w:t>
      </w:r>
      <w:r>
        <w:rPr>
          <w:rStyle w:val="NormalTok"/>
        </w:rPr>
        <w:t xml:space="preserve"> padj_trans))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Warning: Removed 17318 rows containing missing values or values outside the scale range</w:t>
      </w:r>
      <w:r>
        <w:br/>
      </w:r>
      <w:r>
        <w:rPr>
          <w:rStyle w:val="VerbatimChar"/>
        </w:rPr>
        <w:t xml:space="preserve">(`geom_point()`).</w:t>
      </w:r>
    </w:p>
    <w:p>
      <w:pPr>
        <w:pStyle w:val="FirstParagraph"/>
      </w:pPr>
      <w:r>
        <w:drawing>
          <wp:inline>
            <wp:extent cx="4620126" cy="3696101"/>
            <wp:effectExtent b="0" l="0" r="0" t="0"/>
            <wp:docPr descr="" title="" id="76" name="Picture"/>
            <a:graphic>
              <a:graphicData uri="http://schemas.openxmlformats.org/drawingml/2006/picture">
                <pic:pic>
                  <pic:nvPicPr>
                    <pic:cNvPr descr="resources/images/mouse_gutbrain_de_independent_guide_files/figure-docx/unnamed-chunk-21-1.png" id="77"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also colorcode the genes (points) which are significantly upregulated or downregulated. In order to do this, we will need to create a new column in our dataset that identifies whether a gene is upregulated in ASD-type mice, downregulated in ASD-type mice, or has the same regulation in ASD-type mice compared to control-type mice.</w:t>
      </w:r>
    </w:p>
    <w:p>
      <w:pPr>
        <w:pStyle w:val="BodyText"/>
      </w:pPr>
      <w:r>
        <w:t xml:space="preserve">ADD CODE FOR PLOTTING AND EXPLAIN WHAT WAS ADDED ON TOP</w:t>
      </w:r>
    </w:p>
    <w:p>
      <w:pPr>
        <w:pStyle w:val="BodyText"/>
      </w:pPr>
      <w:r>
        <w:t xml:space="preserve">Finally, we can label genes of interest in our plot.</w:t>
      </w:r>
    </w:p>
    <w:p>
      <w:pPr>
        <w:pStyle w:val="BodyText"/>
      </w:pPr>
      <w:r>
        <w:t xml:space="preserve">Here’s all the code we used to build a volcano plot in one place so that you can easily run it again.</w:t>
      </w:r>
    </w:p>
    <w:bookmarkEnd w:id="78"/>
    <w:bookmarkStart w:id="79" w:name="creating-a-gene-list"/>
    <w:p>
      <w:pPr>
        <w:pStyle w:val="Heading4"/>
      </w:pPr>
      <w:r>
        <w:t xml:space="preserve">Creating a gene list</w:t>
      </w:r>
    </w:p>
    <w:p>
      <w:pPr>
        <w:pStyle w:val="FirstParagraph"/>
      </w:pPr>
      <w:r>
        <w:t xml:space="preserve">Next, you might want to create a list of all the genes that are differentially expressed between your two groups using the</w:t>
      </w:r>
      <w:r>
        <w:t xml:space="preserve"> </w:t>
      </w:r>
      <w:r>
        <w:rPr>
          <w:rStyle w:val="VerbatimChar"/>
        </w:rPr>
        <w:t xml:space="preserve">filter</w:t>
      </w:r>
      <w:r>
        <w:t xml:space="preserve"> </w:t>
      </w:r>
      <w:r>
        <w:t xml:space="preserve">command. Make sure to check that your gene list has enough genes on it using</w:t>
      </w:r>
      <w:r>
        <w:t xml:space="preserve"> </w:t>
      </w:r>
      <w:r>
        <w:rPr>
          <w:rStyle w:val="VerbatimChar"/>
        </w:rPr>
        <w:t xml:space="preserve">head</w:t>
      </w:r>
      <w:r>
        <w:t xml:space="preserve"> </w:t>
      </w:r>
      <w:r>
        <w:t xml:space="preserve">and</w:t>
      </w:r>
      <w:r>
        <w:t xml:space="preserve"> </w:t>
      </w:r>
      <w:r>
        <w:rPr>
          <w:rStyle w:val="VerbatimChar"/>
        </w:rPr>
        <w:t xml:space="preserve">dim</w:t>
      </w:r>
      <w:r>
        <w:t xml:space="preserve"> </w:t>
      </w:r>
      <w:r>
        <w:t xml:space="preserve">(and that you have a good ratio of</w:t>
      </w:r>
      <w:r>
        <w:t xml:space="preserve"> </w:t>
      </w:r>
      <w:r>
        <w:t xml:space="preserve">“</w:t>
      </w:r>
      <w:r>
        <w:t xml:space="preserve">real</w:t>
      </w:r>
      <w:r>
        <w:t xml:space="preserve">”</w:t>
      </w:r>
      <w:r>
        <w:t xml:space="preserve"> </w:t>
      </w:r>
      <w:r>
        <w:t xml:space="preserve">positive versus false positive results).</w:t>
      </w:r>
    </w:p>
    <w:p>
      <w:pPr>
        <w:pStyle w:val="BodyText"/>
      </w:pPr>
      <w:r>
        <w:t xml:space="preserve">This step requires some thought as to what you want to set as your padj threshold! Remember, you want to make sure you have a minimal number of false positive results, while also still keeping enough genes for future analyses.</w:t>
      </w:r>
    </w:p>
    <w:p>
      <w:pPr>
        <w:pStyle w:val="SourceCode"/>
      </w:pPr>
      <w:r>
        <w:rPr>
          <w:rStyle w:val="NormalTok"/>
        </w:rPr>
        <w:t xml:space="preserve">asd_vs_c_sig </w:t>
      </w:r>
      <w:r>
        <w:rPr>
          <w:rStyle w:val="OtherTok"/>
        </w:rPr>
        <w:t xml:space="preserve">&lt;-</w:t>
      </w:r>
      <w:r>
        <w:rPr>
          <w:rStyle w:val="NormalTok"/>
        </w:rPr>
        <w:t xml:space="preserve"> </w:t>
      </w:r>
      <w:r>
        <w:rPr>
          <w:rStyle w:val="FunctionTok"/>
        </w:rPr>
        <w:t xml:space="preserve">filter</w:t>
      </w:r>
      <w:r>
        <w:rPr>
          <w:rStyle w:val="NormalTok"/>
        </w:rPr>
        <w:t xml:space="preserve">(asd_vs_c, padj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FunctionTok"/>
        </w:rPr>
        <w:t xml:space="preserve">head</w:t>
      </w:r>
      <w:r>
        <w:rPr>
          <w:rStyle w:val="NormalTok"/>
        </w:rPr>
        <w:t xml:space="preserve">(asd_vs_c_sig)</w:t>
      </w:r>
    </w:p>
    <w:p>
      <w:pPr>
        <w:pStyle w:val="SourceCode"/>
      </w:pPr>
      <w:r>
        <w:rPr>
          <w:rStyle w:val="VerbatimChar"/>
        </w:rPr>
        <w:t xml:space="preserve"># A tibble: 6 × 8</w:t>
      </w:r>
      <w:r>
        <w:br/>
      </w:r>
      <w:r>
        <w:rPr>
          <w:rStyle w:val="VerbatimChar"/>
        </w:rPr>
        <w:t xml:space="preserve">  gene          baseMean log2FoldChange lfcSE  stat   pvalue     padj padj_trans</w:t>
      </w:r>
      <w:r>
        <w:br/>
      </w:r>
      <w:r>
        <w:rPr>
          <w:rStyle w:val="VerbatimChar"/>
        </w:rPr>
        <w:t xml:space="preserve">  &lt;chr&gt;            &lt;dbl&gt;          &lt;dbl&gt; &lt;dbl&gt; &lt;dbl&gt;    &lt;dbl&gt;    &lt;dbl&gt;      &lt;dbl&gt;</w:t>
      </w:r>
      <w:r>
        <w:br/>
      </w:r>
      <w:r>
        <w:rPr>
          <w:rStyle w:val="VerbatimChar"/>
        </w:rPr>
        <w:t xml:space="preserve">1 ENSMUSG00000…     16.9          -25.5  1.81 -14.1 2.18e-45 7.29e-41       40.1</w:t>
      </w:r>
      <w:r>
        <w:br/>
      </w:r>
      <w:r>
        <w:rPr>
          <w:rStyle w:val="VerbatimChar"/>
        </w:rPr>
        <w:t xml:space="preserve">2 ENSMUSG00000…     14.6          -25.4  1.80 -14.1 3.82e-45 7.29e-41       40.1</w:t>
      </w:r>
      <w:r>
        <w:br/>
      </w:r>
      <w:r>
        <w:rPr>
          <w:rStyle w:val="VerbatimChar"/>
        </w:rPr>
        <w:t xml:space="preserve">3 ENSMUSG00000…     11.2          -25.0  1.79 -14.0 2.97e-44 3.77e-40       39.4</w:t>
      </w:r>
      <w:r>
        <w:br/>
      </w:r>
      <w:r>
        <w:rPr>
          <w:rStyle w:val="VerbatimChar"/>
        </w:rPr>
        <w:t xml:space="preserve">4 ENSMUSG00000…     14.9          -25.4  1.89 -13.4 4.00e-41 3.81e-37       36.4</w:t>
      </w:r>
      <w:r>
        <w:br/>
      </w:r>
      <w:r>
        <w:rPr>
          <w:rStyle w:val="VerbatimChar"/>
        </w:rPr>
        <w:t xml:space="preserve">5 ENSMUSG00000…     11.5          -25.0  1.89 -13.3 3.44e-40 2.62e-36       35.6</w:t>
      </w:r>
      <w:r>
        <w:br/>
      </w:r>
      <w:r>
        <w:rPr>
          <w:rStyle w:val="VerbatimChar"/>
        </w:rPr>
        <w:t xml:space="preserve">6 ENSMUSG00000…     10.6          -24.9  1.99 -12.5 6.66e-36 4.23e-32       31.4</w:t>
      </w:r>
    </w:p>
    <w:p>
      <w:pPr>
        <w:pStyle w:val="SourceCode"/>
      </w:pPr>
      <w:r>
        <w:rPr>
          <w:rStyle w:val="FunctionTok"/>
        </w:rPr>
        <w:t xml:space="preserve">dim</w:t>
      </w:r>
      <w:r>
        <w:rPr>
          <w:rStyle w:val="NormalTok"/>
        </w:rPr>
        <w:t xml:space="preserve">(asd_vs_c_sig)</w:t>
      </w:r>
    </w:p>
    <w:p>
      <w:pPr>
        <w:pStyle w:val="SourceCode"/>
      </w:pPr>
      <w:r>
        <w:rPr>
          <w:rStyle w:val="VerbatimChar"/>
        </w:rPr>
        <w:t xml:space="preserve">[1] 10  8</w:t>
      </w:r>
    </w:p>
    <w:bookmarkEnd w:id="79"/>
    <w:bookmarkStart w:id="80" w:name="plotting-a-single-gene-across-regions"/>
    <w:p>
      <w:pPr>
        <w:pStyle w:val="Heading4"/>
      </w:pPr>
      <w:r>
        <w:t xml:space="preserve">Plotting a single gene across regions</w:t>
      </w:r>
    </w:p>
    <w:p>
      <w:pPr>
        <w:pStyle w:val="SourceCode"/>
      </w:pPr>
      <w:r>
        <w:rPr>
          <w:rStyle w:val="FunctionTok"/>
        </w:rPr>
        <w:t xml:space="preserve">plotAcrossRegions</w:t>
      </w:r>
      <w:r>
        <w:rPr>
          <w:rStyle w:val="NormalTok"/>
        </w:rPr>
        <w:t xml:space="preserve">(</w:t>
      </w:r>
      <w:r>
        <w:rPr>
          <w:rStyle w:val="StringTok"/>
        </w:rPr>
        <w:t xml:space="preserve">"ENSMUSG00000079516"</w:t>
      </w:r>
      <w:r>
        <w:rPr>
          <w:rStyle w:val="NormalTok"/>
        </w:rPr>
        <w:t xml:space="preserve">)</w:t>
      </w:r>
    </w:p>
    <w:bookmarkEnd w:id="80"/>
    <w:bookmarkStart w:id="81" w:name="running-a-gene-set-analysis"/>
    <w:p>
      <w:pPr>
        <w:pStyle w:val="Heading4"/>
      </w:pPr>
      <w:r>
        <w:t xml:space="preserve">Running a gene set analysis</w:t>
      </w:r>
    </w:p>
    <w:p>
      <w:pPr>
        <w:pStyle w:val="FirstParagraph"/>
      </w:pPr>
      <w:r>
        <w:t xml:space="preserve">You can use the special command</w:t>
      </w:r>
      <w:r>
        <w:t xml:space="preserve"> </w:t>
      </w:r>
      <w:r>
        <w:rPr>
          <w:rStyle w:val="VerbatimChar"/>
        </w:rPr>
        <w:t xml:space="preserve">runClusterProfiler</w:t>
      </w:r>
      <w:r>
        <w:t xml:space="preserve"> </w:t>
      </w:r>
      <w:r>
        <w:t xml:space="preserve">to figure out the types of processes genes on your gene list are involved in. You can also create a dotplot to visualize your results.</w:t>
      </w:r>
    </w:p>
    <w:p>
      <w:pPr>
        <w:pStyle w:val="SourceCode"/>
      </w:pPr>
      <w:r>
        <w:rPr>
          <w:rStyle w:val="NormalTok"/>
        </w:rPr>
        <w:t xml:space="preserve">asd_vs_c_clusters </w:t>
      </w:r>
      <w:r>
        <w:rPr>
          <w:rStyle w:val="OtherTok"/>
        </w:rPr>
        <w:t xml:space="preserve">&lt;-</w:t>
      </w:r>
      <w:r>
        <w:rPr>
          <w:rStyle w:val="NormalTok"/>
        </w:rPr>
        <w:t xml:space="preserve"> </w:t>
      </w:r>
      <w:r>
        <w:rPr>
          <w:rStyle w:val="FunctionTok"/>
        </w:rPr>
        <w:t xml:space="preserve">runClusterProfiler</w:t>
      </w:r>
      <w:r>
        <w:rPr>
          <w:rStyle w:val="NormalTok"/>
        </w:rPr>
        <w:t xml:space="preserve">(asd_vs_c_sig)</w:t>
      </w:r>
      <w:r>
        <w:br/>
      </w:r>
      <w:r>
        <w:br/>
      </w:r>
      <w:r>
        <w:rPr>
          <w:rStyle w:val="FunctionTok"/>
        </w:rPr>
        <w:t xml:space="preserve">dotplot</w:t>
      </w:r>
      <w:r>
        <w:rPr>
          <w:rStyle w:val="NormalTok"/>
        </w:rPr>
        <w:t xml:space="preserve">(asd_vs_c_clusters, </w:t>
      </w:r>
      <w:r>
        <w:rPr>
          <w:rStyle w:val="AttributeTok"/>
        </w:rPr>
        <w:t xml:space="preserve">showCategory=</w:t>
      </w:r>
      <w:r>
        <w:rPr>
          <w:rStyle w:val="DecValTok"/>
        </w:rPr>
        <w:t xml:space="preserve">34</w:t>
      </w:r>
      <w:r>
        <w:rPr>
          <w:rStyle w:val="NormalTok"/>
        </w:rPr>
        <w:t xml:space="preserve">, </w:t>
      </w:r>
      <w:r>
        <w:rPr>
          <w:rStyle w:val="AttributeTok"/>
        </w:rPr>
        <w:t xml:space="preserve">title=</w:t>
      </w:r>
      <w:r>
        <w:rPr>
          <w:rStyle w:val="StringTok"/>
        </w:rPr>
        <w:t xml:space="preserve">"asd vs control in prefrontal cortex"</w:t>
      </w:r>
      <w:r>
        <w:rPr>
          <w:rStyle w:val="NormalTok"/>
        </w:rPr>
        <w:t xml:space="preserve">, </w:t>
      </w:r>
      <w:r>
        <w:rPr>
          <w:rStyle w:val="AttributeTok"/>
        </w:rPr>
        <w:t xml:space="preserve">font.size=</w:t>
      </w:r>
      <w:r>
        <w:rPr>
          <w:rStyle w:val="DecValTok"/>
        </w:rPr>
        <w:t xml:space="preserve">10</w:t>
      </w:r>
      <w:r>
        <w:rPr>
          <w:rStyle w:val="NormalTok"/>
        </w:rPr>
        <w:t xml:space="preserve">, </w:t>
      </w:r>
      <w:r>
        <w:rPr>
          <w:rStyle w:val="AttributeTok"/>
        </w:rPr>
        <w:t xml:space="preserve">label_format =</w:t>
      </w:r>
      <w:r>
        <w:rPr>
          <w:rStyle w:val="NormalTok"/>
        </w:rPr>
        <w:t xml:space="preserve"> </w:t>
      </w:r>
      <w:r>
        <w:rPr>
          <w:rStyle w:val="DecValTok"/>
        </w:rPr>
        <w:t xml:space="preserve">50</w:t>
      </w:r>
      <w:r>
        <w:rPr>
          <w:rStyle w:val="NormalTok"/>
        </w:rPr>
        <w:t xml:space="preserve">)</w:t>
      </w:r>
    </w:p>
    <w:bookmarkEnd w:id="81"/>
    <w:bookmarkStart w:id="82" w:name="X1edf745fc2ebd60be02771d4ea2aca32cc2c72b"/>
    <w:p>
      <w:pPr>
        <w:pStyle w:val="Heading4"/>
      </w:pPr>
      <w:r>
        <w:t xml:space="preserve">Compare differential gene expression across regions</w:t>
      </w:r>
    </w:p>
    <w:p>
      <w:pPr>
        <w:pStyle w:val="FirstParagraph"/>
      </w:pPr>
      <w:r>
        <w:t xml:space="preserve">It might be interesting to look at the expression of a gene across all the possible regions. To do this, we will first load the region-specific datasets.</w:t>
      </w:r>
    </w:p>
    <w:p>
      <w:pPr>
        <w:pStyle w:val="SourceCode"/>
      </w:pPr>
      <w:r>
        <w:rPr>
          <w:rStyle w:val="NormalTok"/>
        </w:rPr>
        <w:t xml:space="preserve">asd_vs_c_prefrontal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"https://genomicseducation.org/data/mouse_gutbrain_de_autismVcontrol_in_prefrontalcortex.csv"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SourceCode"/>
      </w:pPr>
      <w:r>
        <w:rPr>
          <w:rStyle w:val="NormalTok"/>
        </w:rPr>
        <w:t xml:space="preserve">asd_vs_c_striatum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"https://genomicseducation.org/data/mouse_gutbrain_de_autismVcontrol_in_striatum.csv"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Then we’ll filter out the gene in which we’re interested from each object. Let’s take a look at gene ENSMUSG00000079516, which is the reg3a gene we previously looked up on MGI.</w:t>
      </w:r>
    </w:p>
    <w:p>
      <w:pPr>
        <w:pStyle w:val="SourceCode"/>
      </w:pPr>
      <w:r>
        <w:rPr>
          <w:rStyle w:val="NormalTok"/>
        </w:rPr>
        <w:t xml:space="preserve">reg3a_prefrontal </w:t>
      </w:r>
      <w:r>
        <w:rPr>
          <w:rStyle w:val="OtherTok"/>
        </w:rPr>
        <w:t xml:space="preserve">&lt;-</w:t>
      </w:r>
      <w:r>
        <w:rPr>
          <w:rStyle w:val="NormalTok"/>
        </w:rPr>
        <w:t xml:space="preserve"> </w:t>
      </w:r>
      <w:r>
        <w:rPr>
          <w:rStyle w:val="FunctionTok"/>
        </w:rPr>
        <w:t xml:space="preserve">filter</w:t>
      </w:r>
      <w:r>
        <w:rPr>
          <w:rStyle w:val="NormalTok"/>
        </w:rPr>
        <w:t xml:space="preserve">(asd_vs_c_prefrontal, gene </w:t>
      </w:r>
      <w:r>
        <w:rPr>
          <w:rStyle w:val="SpecialCharTok"/>
        </w:rPr>
        <w:t xml:space="preserve">==</w:t>
      </w:r>
      <w:r>
        <w:rPr>
          <w:rStyle w:val="NormalTok"/>
        </w:rPr>
        <w:t xml:space="preserve"> </w:t>
      </w:r>
      <w:r>
        <w:rPr>
          <w:rStyle w:val="StringTok"/>
        </w:rPr>
        <w:t xml:space="preserve">"ENSMUSG00000079516"</w:t>
      </w:r>
      <w:r>
        <w:rPr>
          <w:rStyle w:val="NormalTok"/>
        </w:rPr>
        <w:t xml:space="preserve">)</w:t>
      </w:r>
      <w:r>
        <w:br/>
      </w:r>
      <w:r>
        <w:br/>
      </w:r>
      <w:r>
        <w:rPr>
          <w:rStyle w:val="NormalTok"/>
        </w:rPr>
        <w:t xml:space="preserve">reg3a_striatum </w:t>
      </w:r>
      <w:r>
        <w:rPr>
          <w:rStyle w:val="OtherTok"/>
        </w:rPr>
        <w:t xml:space="preserve">&lt;-</w:t>
      </w:r>
      <w:r>
        <w:rPr>
          <w:rStyle w:val="NormalTok"/>
        </w:rPr>
        <w:t xml:space="preserve"> </w:t>
      </w:r>
      <w:r>
        <w:rPr>
          <w:rStyle w:val="FunctionTok"/>
        </w:rPr>
        <w:t xml:space="preserve">filter</w:t>
      </w:r>
      <w:r>
        <w:rPr>
          <w:rStyle w:val="NormalTok"/>
        </w:rPr>
        <w:t xml:space="preserve">(asd_vs_c_striatum, gene </w:t>
      </w:r>
      <w:r>
        <w:rPr>
          <w:rStyle w:val="SpecialCharTok"/>
        </w:rPr>
        <w:t xml:space="preserve">==</w:t>
      </w:r>
      <w:r>
        <w:rPr>
          <w:rStyle w:val="NormalTok"/>
        </w:rPr>
        <w:t xml:space="preserve"> </w:t>
      </w:r>
      <w:r>
        <w:rPr>
          <w:rStyle w:val="StringTok"/>
        </w:rPr>
        <w:t xml:space="preserve">"ENSMUSG00000079516"</w:t>
      </w:r>
      <w:r>
        <w:rPr>
          <w:rStyle w:val="NormalTok"/>
        </w:rPr>
        <w:t xml:space="preserve">)</w:t>
      </w:r>
    </w:p>
    <w:p>
      <w:pPr>
        <w:pStyle w:val="FirstParagraph"/>
      </w:pPr>
      <w:r>
        <w:t xml:space="preserve">Finally, take a look at the differential expression of reg3a in each region.</w:t>
      </w:r>
    </w:p>
    <w:p>
      <w:pPr>
        <w:pStyle w:val="BodyText"/>
      </w:pPr>
      <w:r>
        <w:t xml:space="preserve">In the prefrontal cortex:</w:t>
      </w:r>
    </w:p>
    <w:p>
      <w:pPr>
        <w:pStyle w:val="SourceCode"/>
      </w:pPr>
      <w:r>
        <w:rPr>
          <w:rStyle w:val="NormalTok"/>
        </w:rPr>
        <w:t xml:space="preserve">reg3a_prefrontal</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10.6          -22.6  2.11 -10.7 7.30e-27 2.63e-23</w:t>
      </w:r>
    </w:p>
    <w:p>
      <w:pPr>
        <w:pStyle w:val="FirstParagraph"/>
      </w:pPr>
      <w:r>
        <w:t xml:space="preserve">In the striatum:</w:t>
      </w:r>
    </w:p>
    <w:p>
      <w:pPr>
        <w:pStyle w:val="SourceCode"/>
      </w:pPr>
      <w:r>
        <w:rPr>
          <w:rStyle w:val="NormalTok"/>
        </w:rPr>
        <w:t xml:space="preserve">reg3a_striatum</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0.371           2.27  2.96 0.765  0.444    NA</w:t>
      </w:r>
    </w:p>
    <w:bookmarkEnd w:id="82"/>
    <w:bookmarkEnd w:id="83"/>
    <w:bookmarkEnd w:id="8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30" Target="media/rId30.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75" Target="media/rId75.png" /><Relationship Type="http://schemas.openxmlformats.org/officeDocument/2006/relationships/hyperlink" Id="rId68" Target="https://genomicseducation.org/data/mouse_gutbrain_de_autismVcontrol.csv" TargetMode="External" /><Relationship Type="http://schemas.openxmlformats.org/officeDocument/2006/relationships/hyperlink" Id="rId69" Target="https://genomicseducation.org/data/mouse_gutbrain_de_autismVcontrol_in_prefrontalcortex.csv" TargetMode="External" /><Relationship Type="http://schemas.openxmlformats.org/officeDocument/2006/relationships/hyperlink" Id="rId70" Target="https://genomicseducation.org/data/mouse_gutbrain_de_autismVcontrol_in_striatum.csv" TargetMode="External" /><Relationship Type="http://schemas.openxmlformats.org/officeDocument/2006/relationships/hyperlink" Id="rId71" Target="https://genomicseducation.org/data/mouse_gutbrain_de_tissuetype.csv" TargetMode="External" /><Relationship Type="http://schemas.openxmlformats.org/officeDocument/2006/relationships/hyperlink" Id="rId72" Target="https://genomicseducation.org/data/mouse_gutbrain_de_tissuetype_in_ASDmice.csv" TargetMode="External" /><Relationship Type="http://schemas.openxmlformats.org/officeDocument/2006/relationships/hyperlink" Id="rId73" Target="https://genomicseducation.org/data/mouse_gutbrain_de_tissuetype_in_controlmice.csv"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www.cell.com/cell/fulltext/S0092-8674(19)30502-1"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28" Target="https://www.informatics.jax.org/genes.shtml" TargetMode="External" /><Relationship Type="http://schemas.openxmlformats.org/officeDocument/2006/relationships/hyperlink" Id="rId29" Target="https://www.informatics.jax.org/mgihome/other/homepage_usingMGI.shtml" TargetMode="External" /></Relationships>
</file>

<file path=word/_rels/footnotes.xml.rels><?xml version="1.0" encoding="UTF-8"?><Relationships xmlns="http://schemas.openxmlformats.org/package/2006/relationships"><Relationship Type="http://schemas.openxmlformats.org/officeDocument/2006/relationships/hyperlink" Id="rId68" Target="https://genomicseducation.org/data/mouse_gutbrain_de_autismVcontrol.csv" TargetMode="External" /><Relationship Type="http://schemas.openxmlformats.org/officeDocument/2006/relationships/hyperlink" Id="rId69" Target="https://genomicseducation.org/data/mouse_gutbrain_de_autismVcontrol_in_prefrontalcortex.csv" TargetMode="External" /><Relationship Type="http://schemas.openxmlformats.org/officeDocument/2006/relationships/hyperlink" Id="rId70" Target="https://genomicseducation.org/data/mouse_gutbrain_de_autismVcontrol_in_striatum.csv" TargetMode="External" /><Relationship Type="http://schemas.openxmlformats.org/officeDocument/2006/relationships/hyperlink" Id="rId71" Target="https://genomicseducation.org/data/mouse_gutbrain_de_tissuetype.csv" TargetMode="External" /><Relationship Type="http://schemas.openxmlformats.org/officeDocument/2006/relationships/hyperlink" Id="rId72" Target="https://genomicseducation.org/data/mouse_gutbrain_de_tissuetype_in_ASDmice.csv" TargetMode="External" /><Relationship Type="http://schemas.openxmlformats.org/officeDocument/2006/relationships/hyperlink" Id="rId73" Target="https://genomicseducation.org/data/mouse_gutbrain_de_tissuetype_in_controlmice.csv"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www.cell.com/cell/fulltext/S0092-8674(19)30502-1"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28" Target="https://www.informatics.jax.org/genes.shtml" TargetMode="External" /><Relationship Type="http://schemas.openxmlformats.org/officeDocument/2006/relationships/hyperlink" Id="rId29" Target="https://www.informatics.jax.org/mgihome/other/homepage_usingMGI.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Differential Expression and the Mouse Gut-Brain Axis</dc:title>
  <dc:creator/>
  <cp:keywords/>
  <dcterms:created xsi:type="dcterms:W3CDTF">2025-06-18T14:48:07Z</dcterms:created>
  <dcterms:modified xsi:type="dcterms:W3CDTF">2025-06-18T14:48:07Z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