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3.png" ContentType="image/png"/>
  <Override PartName="/word/media/rId48.png" ContentType="image/png"/>
  <Override PartName="/word/media/rId51.png" ContentType="image/png"/>
  <Override PartName="/word/media/rId56.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Differential</w:t>
      </w:r>
      <w:r>
        <w:rPr>
          <w:b/>
          <w:bCs/>
        </w:rPr>
        <w:t xml:space="preserve"> </w:t>
      </w:r>
      <w:r>
        <w:rPr>
          <w:b/>
          <w:bCs/>
        </w:rPr>
        <w:t xml:space="preserve">Expression</w:t>
      </w:r>
      <w:r>
        <w:rPr>
          <w:b/>
          <w:bCs/>
        </w:rPr>
        <w:t xml:space="preserve"> </w:t>
      </w:r>
      <w:r>
        <w:rPr>
          <w:b/>
          <w:bCs/>
        </w:rPr>
        <w:t xml:space="preserve">and</w:t>
      </w:r>
      <w:r>
        <w:rPr>
          <w:b/>
          <w:bCs/>
        </w:rPr>
        <w:t xml:space="preserve"> </w:t>
      </w:r>
      <w:r>
        <w:rPr>
          <w:b/>
          <w:bCs/>
        </w:rPr>
        <w:t xml:space="preserve">the</w:t>
      </w:r>
      <w:r>
        <w:rPr>
          <w:b/>
          <w:bCs/>
        </w:rPr>
        <w:t xml:space="preserve"> </w:t>
      </w:r>
      <w:r>
        <w:rPr>
          <w:b/>
          <w:bCs/>
        </w:rPr>
        <w:t xml:space="preserve">Mouse</w:t>
      </w:r>
      <w:r>
        <w:rPr>
          <w:b/>
          <w:bCs/>
        </w:rPr>
        <w:t xml:space="preserve"> </w:t>
      </w:r>
      <w:r>
        <w:rPr>
          <w:b/>
          <w:bCs/>
        </w:rPr>
        <w:t xml:space="preserve">Gut-Brain</w:t>
      </w:r>
      <w:r>
        <w:rPr>
          <w:b/>
          <w:bCs/>
        </w:rPr>
        <w:t xml:space="preserve"> </w:t>
      </w:r>
      <w:r>
        <w:rPr>
          <w:b/>
          <w:bCs/>
        </w:rPr>
        <w:t xml:space="preserve">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38"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w:t>
      </w:r>
      <w:r>
        <w:t xml:space="preserve">processing</w:t>
      </w:r>
      <w:r>
        <w:t xml:space="preserve">”</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w:t>
      </w:r>
      <w:r>
        <w:t xml:space="preserve">striatum</w:t>
      </w:r>
      <w:r>
        <w:t xml:space="preserve">”</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 (https://www.cshl.edu/of-mice-and-model-organisms/, https://fbresearch.org/medical-advances/nobel-prizes).</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2" w:name="start-posit-cloud"/>
    <w:p>
      <w:pPr>
        <w:pStyle w:val="Heading3"/>
      </w:pPr>
      <w:r>
        <w:t xml:space="preserve">Start Posit Cloud</w:t>
      </w:r>
    </w:p>
    <w:p>
      <w:pPr>
        <w:pStyle w:val="FirstParagraph"/>
      </w:pPr>
      <w:r>
        <w:t xml:space="preserve">In the next steps, we will explore the data from the publication described above.</w:t>
      </w:r>
    </w:p>
    <w:p>
      <w:pPr>
        <w:pStyle w:val="BodyText"/>
      </w:pPr>
      <w:r>
        <w:t xml:space="preserve">We will use Posit Cloud for this activity. Go to</w:t>
      </w:r>
      <w:r>
        <w:t xml:space="preserve"> </w:t>
      </w:r>
      <w:hyperlink r:id="rId31">
        <w:r>
          <w:rPr>
            <w:rStyle w:val="Hyperlink"/>
          </w:rPr>
          <w:t xml:space="preserve">https://posit.cloud/plans/free</w:t>
        </w:r>
      </w:hyperlink>
      <w:r>
        <w:t xml:space="preserve"> </w:t>
      </w:r>
      <w:r>
        <w:t xml:space="preserve">and follow the steps to sign up. You can also Log In using the button on the top right if you have used Posit Cloud in the past.</w:t>
      </w:r>
    </w:p>
    <w:p>
      <w:pPr>
        <w:pStyle w:val="BodyText"/>
      </w:pPr>
      <w:r>
        <w:t xml:space="preserve">TODO: Add figure</w:t>
      </w:r>
    </w:p>
    <w:p>
      <w:pPr>
        <w:pStyle w:val="BodyText"/>
      </w:pPr>
      <w:r>
        <w:t xml:space="preserve">Once logged in, select</w:t>
      </w:r>
      <w:r>
        <w:t xml:space="preserve"> </w:t>
      </w:r>
      <w:r>
        <w:t xml:space="preserve">“</w:t>
      </w:r>
      <w:r>
        <w:t xml:space="preserve">New Project</w:t>
      </w:r>
      <w:r>
        <w:t xml:space="preserve">”</w:t>
      </w:r>
      <w:r>
        <w:t xml:space="preserve"> </w:t>
      </w:r>
      <w:r>
        <w:t xml:space="preserve">and</w:t>
      </w:r>
      <w:r>
        <w:t xml:space="preserve"> </w:t>
      </w:r>
      <w:r>
        <w:t xml:space="preserve">“</w:t>
      </w:r>
      <w:r>
        <w:t xml:space="preserve">New RStudio Project</w:t>
      </w:r>
      <w:r>
        <w:t xml:space="preserve">”</w:t>
      </w:r>
      <w:r>
        <w:t xml:space="preserve">. It will take a few seconds to deploy and load.</w:t>
      </w:r>
    </w:p>
    <w:p>
      <w:pPr>
        <w:pStyle w:val="BodyText"/>
      </w:pPr>
      <w:r>
        <w:t xml:space="preserve">TODO: Add figure</w:t>
      </w:r>
    </w:p>
    <w:p>
      <w:pPr>
        <w:pStyle w:val="BodyText"/>
      </w:pPr>
      <w:r>
        <w:t xml:space="preserve">Rename your project</w:t>
      </w:r>
      <w:r>
        <w:t xml:space="preserve"> </w:t>
      </w:r>
      <w:r>
        <w:t xml:space="preserve">“</w:t>
      </w:r>
      <w:r>
        <w:t xml:space="preserve">Differential Expression Mouse GutBrain</w:t>
      </w:r>
      <w:r>
        <w:t xml:space="preserve">”</w:t>
      </w:r>
      <w:r>
        <w:t xml:space="preserve"> </w:t>
      </w:r>
      <w:r>
        <w:t xml:space="preserve">by clicking on</w:t>
      </w:r>
      <w:r>
        <w:t xml:space="preserve"> </w:t>
      </w:r>
      <w:r>
        <w:t xml:space="preserve">“</w:t>
      </w:r>
      <w:r>
        <w:t xml:space="preserve">Untitled Project</w:t>
      </w:r>
      <w:r>
        <w:t xml:space="preserve">”</w:t>
      </w:r>
      <w:r>
        <w:t xml:space="preserve">.</w:t>
      </w:r>
    </w:p>
    <w:p>
      <w:pPr>
        <w:pStyle w:val="BodyText"/>
      </w:pPr>
      <w:r>
        <w:t xml:space="preserve">TODO: Add figure</w:t>
      </w:r>
    </w:p>
    <w:bookmarkEnd w:id="32"/>
    <w:bookmarkStart w:id="36"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TODO: Add figure</w:t>
      </w:r>
    </w:p>
    <w:p>
      <w:pPr>
        <w:pStyle w:val="BodyText"/>
      </w:pPr>
      <w:r>
        <w:t xml:space="preserve">Next, we will load the package so it’s ready to use:</w:t>
      </w:r>
    </w:p>
    <w:p>
      <w:pPr>
        <w:pStyle w:val="SourceCode"/>
      </w:pPr>
      <w:r>
        <w:rPr>
          <w:rStyle w:val="FunctionTok"/>
        </w:rPr>
        <w:t xml:space="preserve">library</w:t>
      </w:r>
      <w:r>
        <w:rPr>
          <w:rStyle w:val="NormalTok"/>
        </w:rPr>
        <w:t xml:space="preserve">(tidyverse)</w:t>
      </w:r>
    </w:p>
    <w:p>
      <w:pPr>
        <w:pStyle w:val="FirstParagraph"/>
      </w:pPr>
      <w:r>
        <w:t xml:space="preserve">TODO: Add figure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opt/quarto/share/formats/docx/tip.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w:t>
            </w:r>
            <w:r>
              <w:t xml:space="preserve">expansion packs</w:t>
            </w:r>
            <w:r>
              <w:t xml:space="preserve">”</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w:t>
            </w:r>
            <w:r>
              <w:t xml:space="preserve">tidyverse</w:t>
            </w:r>
            <w:r>
              <w:t xml:space="preserve">”</w:t>
            </w:r>
            <w:r>
              <w:t xml:space="preserve"> </w:t>
            </w:r>
            <w:r>
              <w:t xml:space="preserve">package that you loaded is useful for loading, wrangling, and exploring data.</w:t>
            </w:r>
          </w:p>
        </w:tc>
      </w:tr>
    </w:tbl>
    <w:bookmarkEnd w:id="36"/>
    <w:bookmarkStart w:id="37"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w:t>
      </w:r>
      <w:r>
        <w:t xml:space="preserve">turned on</w:t>
      </w:r>
      <w:r>
        <w:t xml:space="preserve">”</w:t>
      </w:r>
      <w:r>
        <w:t xml:space="preserve">, while others are</w:t>
      </w:r>
      <w:r>
        <w:t xml:space="preserve"> </w:t>
      </w:r>
      <w:r>
        <w:t xml:space="preserve">“</w:t>
      </w:r>
      <w:r>
        <w:t xml:space="preserve">turned off</w:t>
      </w:r>
      <w:r>
        <w:t xml:space="preserve">”</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7"/>
    <w:bookmarkEnd w:id="38"/>
    <w:bookmarkStart w:id="62"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tip.png" id="40"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numPr>
                <w:ilvl w:val="0"/>
                <w:numId w:val="1002"/>
              </w:numPr>
            </w:pPr>
            <w:r>
              <w:rPr>
                <w:b/>
                <w:bCs/>
              </w:rPr>
              <w:t xml:space="preserve">gene</w:t>
            </w:r>
            <w:r>
              <w:t xml:space="preserve">: the geneID (see below for more detail).</w:t>
            </w:r>
          </w:p>
          <w:p>
            <w:pPr>
              <w:numPr>
                <w:ilvl w:val="0"/>
                <w:numId w:val="1002"/>
              </w:numPr>
            </w:pPr>
            <w:r>
              <w:rPr>
                <w:b/>
                <w:bCs/>
              </w:rPr>
              <w:t xml:space="preserve">baseMean</w:t>
            </w:r>
            <w:r>
              <w:t xml:space="preserve">: the average of the normalized count values for this gene, taken over all samples.</w:t>
            </w:r>
          </w:p>
          <w:p>
            <w:pPr>
              <w:numPr>
                <w:ilvl w:val="0"/>
                <w:numId w:val="1002"/>
              </w:numPr>
            </w:pP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p>
          <w:p>
            <w:pPr>
              <w:numPr>
                <w:ilvl w:val="0"/>
                <w:numId w:val="1002"/>
              </w:numPr>
            </w:pPr>
            <w:r>
              <w:rPr>
                <w:b/>
                <w:bCs/>
              </w:rPr>
              <w:t xml:space="preserve">lfcSE</w:t>
            </w:r>
            <w:r>
              <w:t xml:space="preserve">: the standard error calculated for log2FoldChange.</w:t>
            </w:r>
          </w:p>
          <w:p>
            <w:pPr>
              <w:numPr>
                <w:ilvl w:val="0"/>
                <w:numId w:val="1002"/>
              </w:numPr>
            </w:pPr>
            <w:r>
              <w:rPr>
                <w:b/>
                <w:bCs/>
              </w:rPr>
              <w:t xml:space="preserve">stat</w:t>
            </w:r>
            <w:r>
              <w:t xml:space="preserve">: t-value calculated to determine if the log2FoldChange is significantly different from zero.</w:t>
            </w:r>
          </w:p>
          <w:p>
            <w:pPr>
              <w:pStyle w:val="FirstParagraph"/>
            </w:pPr>
            <w:r>
              <w:t xml:space="preserve">-</w:t>
            </w:r>
            <w:r>
              <w:rPr>
                <w:b/>
                <w:bCs/>
              </w:rPr>
              <w:t xml:space="preserve">pvalue</w:t>
            </w:r>
            <w:r>
              <w:t xml:space="preserve">: the p-value for the log2FoldChange.</w:t>
            </w:r>
          </w:p>
          <w:p>
            <w:pPr>
              <w:pStyle w:val="BodyText"/>
            </w:pPr>
            <w:pPr>
              <w:spacing w:after="16"/>
            </w:pPr>
            <w:r>
              <w:t xml:space="preserve">-</w:t>
            </w:r>
            <w:r>
              <w:rPr>
                <w:b/>
                <w:bCs/>
              </w:rPr>
              <w:t xml:space="preserve">padj</w:t>
            </w:r>
            <w:r>
              <w:t xml:space="preserve">: the p-value, adjusted for multiple testing.</w:t>
            </w:r>
          </w:p>
        </w:tc>
      </w:tr>
    </w:tbl>
    <w:p>
      <w:pPr>
        <w:pStyle w:val="BodyText"/>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w:t>
      </w:r>
      <w:r>
        <w:t xml:space="preserve">Ensembl</w:t>
      </w:r>
      <w:r>
        <w:t xml:space="preserve">”</w:t>
      </w:r>
      <w:r>
        <w:t xml:space="preserve">. Ensembl is a</w:t>
      </w:r>
      <w:r>
        <w:t xml:space="preserve"> </w:t>
      </w:r>
      <w:hyperlink r:id="rId41">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w:t>
      </w:r>
      <w:r>
        <w:t xml:space="preserve">ENS</w:t>
      </w:r>
      <w:r>
        <w:t xml:space="preserve">”</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w:t>
      </w:r>
      <w:r>
        <w:t xml:space="preserve">Mus</w:t>
      </w:r>
      <w:r>
        <w:t xml:space="preserve">”</w:t>
      </w:r>
      <w:r>
        <w:t xml:space="preserve">, which is the genus for the mouse.</w:t>
      </w:r>
    </w:p>
    <w:p>
      <w:pPr>
        <w:pStyle w:val="BodyText"/>
      </w:pPr>
      <w:r>
        <w:rPr>
          <w:b/>
          <w:bCs/>
        </w:rPr>
        <w:t xml:space="preserve">G</w:t>
      </w:r>
      <w:r>
        <w:t xml:space="preserve"> </w:t>
      </w:r>
      <w:r>
        <w:t xml:space="preserve">stands for</w:t>
      </w:r>
      <w:r>
        <w:t xml:space="preserve"> </w:t>
      </w:r>
      <w:r>
        <w:t xml:space="preserve">“</w:t>
      </w:r>
      <w:r>
        <w:t xml:space="preserve">Gene</w:t>
      </w:r>
      <w:r>
        <w:t xml:space="preserve">”</w:t>
      </w:r>
      <w:r>
        <w:t xml:space="preserve">. When you see</w:t>
      </w:r>
      <w:r>
        <w:t xml:space="preserve"> </w:t>
      </w:r>
      <w:r>
        <w:t xml:space="preserve">“</w:t>
      </w:r>
      <w:r>
        <w:t xml:space="preserve">G</w:t>
      </w:r>
      <w:r>
        <w:t xml:space="preserve">”</w:t>
      </w:r>
      <w:r>
        <w:t xml:space="preserve"> </w:t>
      </w:r>
      <w:r>
        <w:t xml:space="preserve">in the ID name, you know you are working with a gene. There are also codes for transcripts (</w:t>
      </w:r>
      <w:r>
        <w:t xml:space="preserve">“</w:t>
      </w:r>
      <w:r>
        <w:t xml:space="preserve">T</w:t>
      </w:r>
      <w:r>
        <w:t xml:space="preserve">”</w:t>
      </w:r>
      <w:r>
        <w:t xml:space="preserve">), exons (</w:t>
      </w:r>
      <w:r>
        <w:t xml:space="preserve">“</w:t>
      </w:r>
      <w:r>
        <w:t xml:space="preserve">E</w:t>
      </w:r>
      <w:r>
        <w:t xml:space="preserve">”</w:t>
      </w:r>
      <w:r>
        <w:t xml:space="preserve">), and proteins (</w:t>
      </w:r>
      <w:r>
        <w:t xml:space="preserve">“</w:t>
      </w:r>
      <w:r>
        <w:t xml:space="preserve">P</w:t>
      </w:r>
      <w:r>
        <w:t xml:space="preserve">”</w:t>
      </w:r>
      <w:r>
        <w:t xml:space="preserve">).</w:t>
      </w:r>
    </w:p>
    <w:p>
      <w:pPr>
        <w:pStyle w:val="BodyText"/>
      </w:pPr>
      <w:r>
        <w:rPr>
          <w:b/>
          <w:bCs/>
        </w:rPr>
        <w:t xml:space="preserve">00000000001</w:t>
      </w:r>
      <w:r>
        <w:t xml:space="preserve"> </w:t>
      </w:r>
      <w:r>
        <w:t xml:space="preserve">is the numerical code associated with the gene.</w:t>
      </w:r>
    </w:p>
    <w:bookmarkStart w:id="42"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2"/>
    <w:bookmarkStart w:id="61"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3">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4">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w:t>
      </w:r>
      <w:r>
        <w:t xml:space="preserve">Genes</w:t>
      </w:r>
      <w:r>
        <w:t xml:space="preserve">”</w:t>
      </w:r>
      <w:r>
        <w:t xml:space="preserve"> </w:t>
      </w:r>
      <w:r>
        <w:t xml:space="preserve">button.</w:t>
      </w:r>
    </w:p>
    <w:p>
      <w:pPr>
        <w:pStyle w:val="BodyText"/>
      </w:pPr>
      <w:r>
        <w:drawing>
          <wp:inline>
            <wp:extent cx="5334000" cy="3000375"/>
            <wp:effectExtent b="0" l="0" r="0" t="0"/>
            <wp:docPr descr="" title="" id="46" name="Picture"/>
            <a:graphic>
              <a:graphicData uri="http://schemas.openxmlformats.org/drawingml/2006/picture">
                <pic:pic>
                  <pic:nvPicPr>
                    <pic:cNvPr descr="resources/images/mouse_gutbrain_de_student-guide_files/figure-docx//1vikcyml6uw-_DaC1yFpS-UWoWNEGxFukMB_eCi42BqY_g357f7ed062e_9_0.png" id="47" name="Picture"/>
                    <pic:cNvPicPr>
                      <a:picLocks noChangeArrowheads="1" noChangeAspect="1"/>
                    </pic:cNvPicPr>
                  </pic:nvPicPr>
                  <pic:blipFill>
                    <a:blip r:embed="rId4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Next, type the gene ID into the</w:t>
      </w:r>
      <w:r>
        <w:t xml:space="preserve"> </w:t>
      </w:r>
      <w:r>
        <w:t xml:space="preserve">“</w:t>
      </w:r>
      <w:r>
        <w:t xml:space="preserve">Search</w:t>
      </w:r>
      <w:r>
        <w:t xml:space="preserve">”</w:t>
      </w:r>
      <w:r>
        <w:t xml:space="preserve"> </w:t>
      </w:r>
      <w:r>
        <w:t xml:space="preserve">bar up top. We’ll look up</w:t>
      </w:r>
      <w:r>
        <w:t xml:space="preserve"> </w:t>
      </w:r>
      <w:r>
        <w:t xml:space="preserve">“</w:t>
      </w:r>
      <w:r>
        <w:t xml:space="preserve">ENSMUSG00000079516</w:t>
      </w:r>
      <w:r>
        <w:t xml:space="preserve">”</w:t>
      </w:r>
      <w:r>
        <w:t xml:space="preserve">.</w:t>
      </w:r>
    </w:p>
    <w:p>
      <w:pPr>
        <w:pStyle w:val="BodyText"/>
      </w:pPr>
      <w:r>
        <w:drawing>
          <wp:inline>
            <wp:extent cx="5334000" cy="3000375"/>
            <wp:effectExtent b="0" l="0" r="0" t="0"/>
            <wp:docPr descr="" title="" id="49" name="Picture"/>
            <a:graphic>
              <a:graphicData uri="http://schemas.openxmlformats.org/drawingml/2006/picture">
                <pic:pic>
                  <pic:nvPicPr>
                    <pic:cNvPr descr="resources/images/mouse_gutbrain_de_student-guide_files/figure-docx//1vikcyml6uw-_DaC1yFpS-UWoWNEGxFukMB_eCi42BqY_g3412c9eee7c_0_1.png" id="50" name="Picture"/>
                    <pic:cNvPicPr>
                      <a:picLocks noChangeArrowheads="1" noChangeAspect="1"/>
                    </pic:cNvPicPr>
                  </pic:nvPicPr>
                  <pic:blipFill>
                    <a:blip r:embed="rId48"/>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After you type the gene ID into the Search bar and hit enter, you should see a new page with basic information about the gene. Click on the gene symbol (in this example, Reg3a) to get more detailed information.</w:t>
      </w:r>
    </w:p>
    <w:p>
      <w:pPr>
        <w:pStyle w:val="BodyText"/>
      </w:pPr>
      <w:r>
        <w:drawing>
          <wp:inline>
            <wp:extent cx="5334000" cy="3000375"/>
            <wp:effectExtent b="0" l="0" r="0" t="0"/>
            <wp:docPr descr="" title="" id="52" name="Picture"/>
            <a:graphic>
              <a:graphicData uri="http://schemas.openxmlformats.org/drawingml/2006/picture">
                <pic:pic>
                  <pic:nvPicPr>
                    <pic:cNvPr descr="resources/images/mouse_gutbrain_de_student-guide_files/figure-docx//1vikcyml6uw-_DaC1yFpS-UWoWNEGxFukMB_eCi42BqY_g346083d4dc0_0_0.png" id="53"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tip.png" id="5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w:t>
            </w:r>
            <w:r>
              <w:t xml:space="preserve">pseudogenes</w:t>
            </w:r>
            <w:r>
              <w:t xml:space="preserve">”</w:t>
            </w:r>
            <w:r>
              <w:t xml:space="preserve">,</w:t>
            </w:r>
            <w:r>
              <w:t xml:space="preserve"> </w:t>
            </w:r>
            <w:r>
              <w:t xml:space="preserve">“</w:t>
            </w:r>
            <w:r>
              <w:t xml:space="preserve">putative genes</w:t>
            </w:r>
            <w:r>
              <w:t xml:space="preserve">”</w:t>
            </w:r>
            <w:r>
              <w:t xml:space="preserve">, and</w:t>
            </w:r>
            <w:r>
              <w:t xml:space="preserve"> </w:t>
            </w:r>
            <w:r>
              <w:t xml:space="preserve">“</w:t>
            </w:r>
            <w:r>
              <w:t xml:space="preserve">lncRNA</w:t>
            </w:r>
            <w:r>
              <w:t xml:space="preserve">”</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w:t>
            </w:r>
            <w:r>
              <w:t xml:space="preserve">long non-coding RNA</w:t>
            </w:r>
            <w:r>
              <w:t xml:space="preserve">”</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w:t>
      </w:r>
      <w:r>
        <w:t xml:space="preserve">gene ontology</w:t>
      </w:r>
      <w:r>
        <w:t xml:space="preserve">”</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p>
      <w:pPr>
        <w:pStyle w:val="BodyText"/>
      </w:pPr>
      <w:r>
        <w:drawing>
          <wp:inline>
            <wp:extent cx="5334000" cy="3000375"/>
            <wp:effectExtent b="0" l="0" r="0" t="0"/>
            <wp:docPr descr="" title="" id="57" name="Picture"/>
            <a:graphic>
              <a:graphicData uri="http://schemas.openxmlformats.org/drawingml/2006/picture">
                <pic:pic>
                  <pic:nvPicPr>
                    <pic:cNvPr descr="resources/images/mouse_gutbrain_de_student-guide_files/figure-docx//1vikcyml6uw-_DaC1yFpS-UWoWNEGxFukMB_eCi42BqY_g346083d4dc0_0_11.png" id="58" name="Picture"/>
                    <pic:cNvPicPr>
                      <a:picLocks noChangeArrowheads="1" noChangeAspect="1"/>
                    </pic:cNvPicPr>
                  </pic:nvPicPr>
                  <pic:blipFill>
                    <a:blip r:embed="rId56"/>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opt/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What gene shows the greatest upregulation (increase in gene expression) in ASD-type mice compared to control mice? Give both the gene ID and the gene name.</w:t>
            </w:r>
          </w:p>
          <w:p>
            <w:pPr>
              <w:numPr>
                <w:ilvl w:val="0"/>
                <w:numId w:val="1003"/>
              </w:numPr>
            </w:pPr>
            <w:r>
              <w:t xml:space="preserve">What molecular functions does this gene do?</w:t>
            </w:r>
          </w:p>
          <w:p>
            <w:pPr>
              <w:numPr>
                <w:ilvl w:val="0"/>
                <w:numId w:val="1003"/>
              </w:numPr>
            </w:pPr>
            <w:r>
              <w:t xml:space="preserve">What gene shows the greatest downregulation (decrease in gene expression) in ASD-type mice compared to control mice? Give both the gene ID and the gene name.</w:t>
            </w:r>
          </w:p>
          <w:p>
            <w:pPr>
              <w:numPr>
                <w:ilvl w:val="0"/>
                <w:numId w:val="1003"/>
              </w:numPr>
            </w:pPr>
            <w:r>
              <w:t xml:space="preserve">What biological processes is this gene involved in?</w:t>
            </w:r>
          </w:p>
        </w:tc>
      </w:tr>
    </w:tbl>
    <w:bookmarkEnd w:id="61"/>
    <w:bookmarkEnd w:id="62"/>
    <w:bookmarkStart w:id="67"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63"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63"/>
    <w:bookmarkStart w:id="66"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opt/quarto/share/formats/docx/note.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4"/>
              </w:numPr>
            </w:pPr>
            <w:r>
              <w:t xml:space="preserve">How many genes did you keep after filtering out any genes with a padj &gt; 0.05?</w:t>
            </w:r>
          </w:p>
          <w:p>
            <w:pPr>
              <w:numPr>
                <w:ilvl w:val="0"/>
                <w:numId w:val="1004"/>
              </w:numPr>
            </w:pPr>
            <w:r>
              <w:t xml:space="preserve">How many genes in #8 show increased expression in ASD-type mice?</w:t>
            </w:r>
          </w:p>
          <w:p>
            <w:pPr>
              <w:numPr>
                <w:ilvl w:val="0"/>
                <w:numId w:val="1004"/>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4"/>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image" Id="rId45" Target="media/rId45.png" /><Relationship Type="http://schemas.openxmlformats.org/officeDocument/2006/relationships/hyperlink" Id="rId41"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3" Target="https://www.informatics.jax.org" TargetMode="External" /><Relationship Type="http://schemas.openxmlformats.org/officeDocument/2006/relationships/hyperlink" Id="rId44"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41"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3" Target="https://www.informatics.jax.org" TargetMode="External" /><Relationship Type="http://schemas.openxmlformats.org/officeDocument/2006/relationships/hyperlink" Id="rId44"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2025-06-13T18:34:14Z</dcterms:created>
  <dcterms:modified xsi:type="dcterms:W3CDTF">2025-06-13T18:34:14Z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