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2.png" ContentType="image/png"/>
  <Override PartName="/word/media/rId32.png" ContentType="image/png"/>
  <Override PartName="/word/media/rId38.png" ContentType="image/png"/>
  <Override PartName="/word/media/rId35.png" ContentType="image/png"/>
  <Override PartName="/word/media/rId57.png" ContentType="image/png"/>
  <Override PartName="/word/media/rId60.png" ContentType="image/png"/>
  <Override PartName="/word/media/rId65.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Differential Expression and the Mouse Gut-Brain Axis</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47"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30"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“processing”</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“striatum”</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w:t>
      </w:r>
      <w:r>
        <w:t xml:space="preserve"> </w:t>
      </w:r>
      <w:r>
        <w:t xml:space="preserve">[1]</w:t>
      </w:r>
      <w:r>
        <w:t xml:space="preserve">.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9"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w:t>
      </w:r>
      <w:r>
        <w:t xml:space="preserve"> </w:t>
      </w:r>
      <w:r>
        <w:t xml:space="preserve">[2], [3]</w:t>
      </w:r>
      <w:r>
        <w:t xml:space="preserve">.</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is the gut-brain axis?</w:t>
            </w:r>
          </w:p>
          <w:p>
            <w:pPr>
              <w:numPr>
                <w:ilvl w:val="0"/>
                <w:numId w:val="1001"/>
              </w:numPr>
            </w:pPr>
            <w:r>
              <w:t xml:space="preserve">Why do you think the researchers looked at gene expression in the prefrontal cortex and the striatum?</w:t>
            </w:r>
          </w:p>
          <w:p>
            <w:pPr>
              <w:numPr>
                <w:ilvl w:val="0"/>
                <w:numId w:val="1001"/>
              </w:numPr>
            </w:pPr>
            <w:r>
              <w:t xml:space="preserve">Why are mice useful as model organisms for human disease studies?</w:t>
            </w:r>
          </w:p>
        </w:tc>
      </w:tr>
    </w:tbl>
    <w:bookmarkEnd w:id="29"/>
    <w:bookmarkEnd w:id="30"/>
    <w:bookmarkStart w:id="41"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31">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33" name="Picture"/>
            <a:graphic>
              <a:graphicData uri="http://schemas.openxmlformats.org/drawingml/2006/picture">
                <pic:pic>
                  <pic:nvPicPr>
                    <pic:cNvPr descr="mouse_gutbrain_de_student_guide_files/figure-docx//1dhP4CeUIJAqy3z7mKxuFzk8b8LhLrPBPHb1bpYpbk3c_g1965a5f7f0a_0_44.png" id="34" name="Picture"/>
                    <pic:cNvPicPr>
                      <a:picLocks noChangeArrowheads="1" noChangeAspect="1"/>
                    </pic:cNvPicPr>
                  </pic:nvPicPr>
                  <pic:blipFill>
                    <a:blip r:embed="rId3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6" name="Picture"/>
            <a:graphic>
              <a:graphicData uri="http://schemas.openxmlformats.org/drawingml/2006/picture">
                <pic:pic>
                  <pic:nvPicPr>
                    <pic:cNvPr descr="mouse_gutbrain_de_student_guide_files/figure-docx//1dhP4CeUIJAqy3z7mKxuFzk8b8LhLrPBPHb1bpYpbk3c_g357ffc10808_0_3.png" id="37" name="Picture"/>
                    <pic:cNvPicPr>
                      <a:picLocks noChangeArrowheads="1" noChangeAspect="1"/>
                    </pic:cNvPicPr>
                  </pic:nvPicPr>
                  <pic:blipFill>
                    <a:blip r:embed="rId3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“Differential Expression Mouse GutBrain”</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mouse_gutbrain_de_student_guide_files/figure-docx//1dhP4CeUIJAqy3z7mKxuFzk8b8LhLrPBPHb1bpYpbk3c_g357ffc10808_0_12.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bookmarkEnd w:id="41"/>
    <w:bookmarkStart w:id="45"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Next, we will load the package so it’s ready to use:</w:t>
      </w:r>
    </w:p>
    <w:p>
      <w:pPr>
        <w:pStyle w:val="SourceCode"/>
      </w:pPr>
      <w:r>
        <w:rPr>
          <w:rStyle w:val="FunctionTok"/>
        </w:rPr>
        <w:t xml:space="preserve">library</w:t>
      </w:r>
      <w:r>
        <w:rPr>
          <w:rStyle w:val="NormalTok"/>
        </w:rPr>
        <w:t xml:space="preserve">(tidyverse)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3" name="Picture"/>
                  <a:graphic>
                    <a:graphicData uri="http://schemas.openxmlformats.org/drawingml/2006/picture">
                      <pic:pic>
                        <pic:nvPicPr>
                          <pic:cNvPr descr="/opt/quarto/share/formats/docx/tip.png" id="44"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“tidyverse”</w:t>
            </w:r>
            <w:r>
              <w:t xml:space="preserve"> </w:t>
            </w:r>
            <w:r>
              <w:t xml:space="preserve">package that you loaded is useful for loading, wrangling, and exploring data.</w:t>
            </w:r>
          </w:p>
        </w:tc>
      </w:tr>
    </w:tbl>
    <w:bookmarkEnd w:id="45"/>
    <w:bookmarkStart w:id="46" w:name="load-differential-expression-data"/>
    <w:p>
      <w:pPr>
        <w:pStyle w:val="Heading3"/>
      </w:pPr>
      <w:r>
        <w:t xml:space="preserve">Load Differential Expression Data</w:t>
      </w:r>
    </w:p>
    <w:p>
      <w:pPr>
        <w:pStyle w:val="FirstParagraph"/>
      </w:pPr>
      <w:r>
        <w:rPr>
          <w:b/>
          <w:bCs/>
        </w:rPr>
        <w:t xml:space="preserve">Differential expression</w:t>
      </w:r>
      <w:r>
        <w:t xml:space="preserve"> </w:t>
      </w:r>
      <w:r>
        <w:t xml:space="preserve">refers to the process where different cells within an organism, even those with the same DNA, express different genes, with some genes being expressed or</w:t>
      </w:r>
      <w:r>
        <w:t xml:space="preserve"> </w:t>
      </w:r>
      <w:r>
        <w:t xml:space="preserve">“turned on”</w:t>
      </w:r>
      <w:r>
        <w:t xml:space="preserve">, while others are</w:t>
      </w:r>
      <w:r>
        <w:t xml:space="preserve"> </w:t>
      </w:r>
      <w:r>
        <w:t xml:space="preserve">“turned off”</w:t>
      </w:r>
      <w:r>
        <w:t xml:space="preserve">. This expression difference is the basis of cell type diversity in multicellular organisms (like mice and humans). Because some diseases are thought to be the result of improper gene expression, researchers will use differential gene expression experiments to pinpoint the genes responsible for the disease symptoms.</w:t>
      </w:r>
    </w:p>
    <w:p>
      <w:pPr>
        <w:pStyle w:val="BodyText"/>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GeneID</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46"/>
    <w:bookmarkEnd w:id="47"/>
    <w:bookmarkStart w:id="71"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opt/quarto/share/formats/docx/tip.png" id="49"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numPr>
                <w:ilvl w:val="0"/>
                <w:numId w:val="1002"/>
              </w:numPr>
            </w:pPr>
            <w:r>
              <w:rPr>
                <w:b/>
                <w:bCs/>
              </w:rPr>
              <w:t xml:space="preserve">gene</w:t>
            </w:r>
            <w:r>
              <w:t xml:space="preserve">: the geneID (see below for more detail).</w:t>
            </w:r>
          </w:p>
          <w:p>
            <w:pPr>
              <w:numPr>
                <w:ilvl w:val="0"/>
                <w:numId w:val="1002"/>
              </w:numPr>
            </w:pPr>
            <w:r>
              <w:rPr>
                <w:b/>
                <w:bCs/>
              </w:rPr>
              <w:t xml:space="preserve">baseMean</w:t>
            </w:r>
            <w:r>
              <w:t xml:space="preserve">: the average of the normalized count values for this gene, taken over all samples.</w:t>
            </w:r>
          </w:p>
          <w:p>
            <w:pPr>
              <w:numPr>
                <w:ilvl w:val="0"/>
                <w:numId w:val="1002"/>
              </w:numPr>
            </w:pP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p>
          <w:p>
            <w:pPr>
              <w:numPr>
                <w:ilvl w:val="0"/>
                <w:numId w:val="1002"/>
              </w:numPr>
            </w:pPr>
            <w:r>
              <w:rPr>
                <w:b/>
                <w:bCs/>
              </w:rPr>
              <w:t xml:space="preserve">lfcSE</w:t>
            </w:r>
            <w:r>
              <w:t xml:space="preserve">: the standard error calculated for log2FoldChange.</w:t>
            </w:r>
          </w:p>
          <w:p>
            <w:pPr>
              <w:numPr>
                <w:ilvl w:val="0"/>
                <w:numId w:val="1002"/>
              </w:numPr>
            </w:pPr>
            <w:r>
              <w:rPr>
                <w:b/>
                <w:bCs/>
              </w:rPr>
              <w:t xml:space="preserve">stat</w:t>
            </w:r>
            <w:r>
              <w:t xml:space="preserve">: t-value calculated to determine if the log2FoldChange is significantly different from zero.</w:t>
            </w:r>
          </w:p>
          <w:p>
            <w:pPr>
              <w:pStyle w:val="FirstParagraph"/>
            </w:pPr>
            <w:r>
              <w:t xml:space="preserve">-</w:t>
            </w:r>
            <w:r>
              <w:rPr>
                <w:b/>
                <w:bCs/>
              </w:rPr>
              <w:t xml:space="preserve">pvalue</w:t>
            </w:r>
            <w:r>
              <w:t xml:space="preserve">: the p-value for the log2FoldChange.</w:t>
            </w:r>
          </w:p>
          <w:p>
            <w:pPr>
              <w:pStyle w:val="BodyText"/>
            </w:pPr>
            <w:pPr>
              <w:spacing w:after="16"/>
            </w:pPr>
            <w:r>
              <w:t xml:space="preserve">-</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“Ensembl”</w:t>
      </w:r>
      <w:r>
        <w:t xml:space="preserve">. Ensembl is a</w:t>
      </w:r>
      <w:r>
        <w:t xml:space="preserve"> </w:t>
      </w:r>
      <w:hyperlink r:id="rId50">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“ENS”</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“Mus”</w:t>
      </w:r>
      <w:r>
        <w:t xml:space="preserve">, which is the genus for the mouse.</w:t>
      </w:r>
    </w:p>
    <w:p>
      <w:pPr>
        <w:pStyle w:val="BodyText"/>
      </w:pPr>
      <w:r>
        <w:rPr>
          <w:b/>
          <w:bCs/>
        </w:rPr>
        <w:t xml:space="preserve">G</w:t>
      </w:r>
      <w:r>
        <w:t xml:space="preserve"> </w:t>
      </w:r>
      <w:r>
        <w:t xml:space="preserve">stands for</w:t>
      </w:r>
      <w:r>
        <w:t xml:space="preserve"> </w:t>
      </w:r>
      <w:r>
        <w:t xml:space="preserve">“Gene”</w:t>
      </w:r>
      <w:r>
        <w:t xml:space="preserve">. When you see</w:t>
      </w:r>
      <w:r>
        <w:t xml:space="preserve"> </w:t>
      </w:r>
      <w:r>
        <w:t xml:space="preserve">“G”</w:t>
      </w:r>
      <w:r>
        <w:t xml:space="preserve"> </w:t>
      </w:r>
      <w:r>
        <w:t xml:space="preserve">in the ID name, you know you are working with a gene. There are also codes for transcripts (</w:t>
      </w:r>
      <w:r>
        <w:t xml:space="preserve">“T”</w:t>
      </w:r>
      <w:r>
        <w:t xml:space="preserve">), exons (</w:t>
      </w:r>
      <w:r>
        <w:t xml:space="preserve">“E”</w:t>
      </w:r>
      <w:r>
        <w:t xml:space="preserve">), and proteins (</w:t>
      </w:r>
      <w:r>
        <w:t xml:space="preserve">“P”</w:t>
      </w:r>
      <w:r>
        <w:t xml:space="preserve">).</w:t>
      </w:r>
    </w:p>
    <w:p>
      <w:pPr>
        <w:pStyle w:val="BodyText"/>
      </w:pPr>
      <w:r>
        <w:rPr>
          <w:b/>
          <w:bCs/>
        </w:rPr>
        <w:t xml:space="preserve">00000000001</w:t>
      </w:r>
      <w:r>
        <w:t xml:space="preserve"> </w:t>
      </w:r>
      <w:r>
        <w:t xml:space="preserve">is the numerical code associated with the gene.</w:t>
      </w:r>
    </w:p>
    <w:bookmarkStart w:id="51"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It is a ratio of how many gene transcripts were found in ASD-type mice compared to control-type mice.</w:t>
      </w:r>
    </w:p>
    <w:p>
      <w:pPr>
        <w:pStyle w:val="BodyText"/>
      </w:pPr>
      <w:r>
        <w:t xml:space="preserve">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The genes at the top of this table have the most negative log2FoldChange values. Negative log2FoldChange values means a</w:t>
      </w:r>
      <w:r>
        <w:t xml:space="preserve"> </w:t>
      </w:r>
      <w:r>
        <w:rPr>
          <w:b/>
          <w:bCs/>
        </w:rPr>
        <w:t xml:space="preserve">decreased expression</w:t>
      </w:r>
      <w:r>
        <w:t xml:space="preserve"> </w:t>
      </w:r>
      <w:r>
        <w:t xml:space="preserve">(or, a downregulation in gene expression) in the experimental group versus the control group.</w:t>
      </w:r>
    </w:p>
    <w:p>
      <w:pPr>
        <w:pStyle w:val="BodyText"/>
      </w:pPr>
      <w:r>
        <w:t xml:space="preserve">We can use a similar command to look at the genes with the largest positive log2FoldChange. Positive log2FoldChange values indicate genes that are upregulated, or have</w:t>
      </w:r>
      <w:r>
        <w:t xml:space="preserve"> </w:t>
      </w:r>
      <w:r>
        <w:rPr>
          <w:b/>
          <w:bCs/>
        </w:rPr>
        <w:t xml:space="preserve">increased expression</w:t>
      </w:r>
      <w:r>
        <w:t xml:space="preserve"> </w:t>
      </w:r>
      <w:r>
        <w:t xml:space="preserve">in the experimental group versus the control group.</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bookmarkEnd w:id="51"/>
    <w:bookmarkStart w:id="70"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52">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53">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“Genes”</w:t>
      </w:r>
      <w:r>
        <w:t xml:space="preserve"> </w:t>
      </w:r>
      <w:r>
        <w:t xml:space="preserve">button.</w:t>
      </w:r>
    </w:p>
    <w:p>
      <w:pPr>
        <w:pStyle w:val="BodyText"/>
      </w:pPr>
      <w:r>
        <w:drawing>
          <wp:inline>
            <wp:extent cx="5334000" cy="3000375"/>
            <wp:effectExtent b="0" l="0" r="0" t="0"/>
            <wp:docPr descr="" title="" id="55" name="Picture"/>
            <a:graphic>
              <a:graphicData uri="http://schemas.openxmlformats.org/drawingml/2006/picture">
                <pic:pic>
                  <pic:nvPicPr>
                    <pic:cNvPr descr="mouse_gutbrain_de_student_guide_files/figure-docx//1vikcyml6uw-_DaC1yFpS-UWoWNEGxFukMB_eCi42BqY_g357f7ed062e_9_0.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“Search”</w:t>
      </w:r>
      <w:r>
        <w:t xml:space="preserve"> </w:t>
      </w:r>
      <w:r>
        <w:t xml:space="preserve">bar up top. We’ll look up</w:t>
      </w:r>
      <w:r>
        <w:t xml:space="preserve"> </w:t>
      </w:r>
      <w:r>
        <w:t xml:space="preserve">“ENSMUSG00000079516”</w:t>
      </w:r>
      <w:r>
        <w:t xml:space="preserve">.</w:t>
      </w:r>
    </w:p>
    <w:p>
      <w:pPr>
        <w:pStyle w:val="BodyText"/>
      </w:pPr>
      <w:r>
        <w:drawing>
          <wp:inline>
            <wp:extent cx="5334000" cy="3000375"/>
            <wp:effectExtent b="0" l="0" r="0" t="0"/>
            <wp:docPr descr="" title="" id="58" name="Picture"/>
            <a:graphic>
              <a:graphicData uri="http://schemas.openxmlformats.org/drawingml/2006/picture">
                <pic:pic>
                  <pic:nvPicPr>
                    <pic:cNvPr descr="mouse_gutbrain_de_student_guide_files/figure-docx//1vikcyml6uw-_DaC1yFpS-UWoWNEGxFukMB_eCi42BqY_g3412c9eee7c_0_1.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61" name="Picture"/>
            <a:graphic>
              <a:graphicData uri="http://schemas.openxmlformats.org/drawingml/2006/picture">
                <pic:pic>
                  <pic:nvPicPr>
                    <pic:cNvPr descr="mouse_gutbrain_de_student_guide_files/figure-docx//1vikcyml6uw-_DaC1yFpS-UWoWNEGxFukMB_eCi42BqY_g346083d4dc0_0_0.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tip.png" id="64"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“pseudogenes”</w:t>
            </w:r>
            <w:r>
              <w:t xml:space="preserve">,</w:t>
            </w:r>
            <w:r>
              <w:t xml:space="preserve"> </w:t>
            </w:r>
            <w:r>
              <w:t xml:space="preserve">“putative genes”</w:t>
            </w:r>
            <w:r>
              <w:t xml:space="preserve">, and</w:t>
            </w:r>
            <w:r>
              <w:t xml:space="preserve"> </w:t>
            </w:r>
            <w:r>
              <w:t xml:space="preserve">“lncRNA”</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“long non-coding RNA”</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categories. Down the left-hand side of the page, you will see sections about the chromosomal location, homology, gene ontology, expression data, and more.</w:t>
      </w:r>
    </w:p>
    <w:p>
      <w:pPr>
        <w:pStyle w:val="BodyText"/>
      </w:pPr>
      <w:r>
        <w:t xml:space="preserve">If you scroll down the page, you can also examine the pathways and processes the gene product is involved in under the</w:t>
      </w:r>
      <w:r>
        <w:t xml:space="preserve"> </w:t>
      </w:r>
      <w:r>
        <w:t xml:space="preserve">“gene ontology”</w:t>
      </w:r>
      <w:r>
        <w:t xml:space="preserve"> </w:t>
      </w:r>
      <w:r>
        <w:t xml:space="preserve">section. Gene ontology refers to a common, controlled set of vocabulary and terms that researchers use when categorizing gene and protein function, biological processes, and location within the cell. Reg3a is categorized as a protein involved in carbohydrate derivative binding, signaling receptor activity, and signaling receptor binding. Biologically, the Reg3a protein helps with cell differentiation, cell population proliferation, the immune system, and responding to stimuli.</w:t>
      </w:r>
    </w:p>
    <w:p>
      <w:pPr>
        <w:pStyle w:val="BodyText"/>
      </w:pPr>
      <w:r>
        <w:drawing>
          <wp:inline>
            <wp:extent cx="5334000" cy="3000375"/>
            <wp:effectExtent b="0" l="0" r="0" t="0"/>
            <wp:docPr descr="" title="" id="66" name="Picture"/>
            <a:graphic>
              <a:graphicData uri="http://schemas.openxmlformats.org/drawingml/2006/picture">
                <pic:pic>
                  <pic:nvPicPr>
                    <pic:cNvPr descr="mouse_gutbrain_de_student_guide_files/figure-docx//1vikcyml6uw-_DaC1yFpS-UWoWNEGxFukMB_eCi42BqY_g346083d4dc0_0_11.png" id="67"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note.png" id="6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What gene shows the greatest upregulation (increase in gene expression) in ASD-type mice compared to control mice? Give both the gene ID and the gene name.</w:t>
            </w:r>
          </w:p>
          <w:p>
            <w:pPr>
              <w:numPr>
                <w:ilvl w:val="0"/>
                <w:numId w:val="1003"/>
              </w:numPr>
            </w:pPr>
            <w:r>
              <w:t xml:space="preserve">What molecular functions does this gene do?</w:t>
            </w:r>
          </w:p>
          <w:p>
            <w:pPr>
              <w:numPr>
                <w:ilvl w:val="0"/>
                <w:numId w:val="1003"/>
              </w:numPr>
            </w:pPr>
            <w:r>
              <w:t xml:space="preserve">What gene shows the greatest downregulation (decrease in gene expression) in ASD-type mice compared to control mice? Give both the gene ID and the gene name.</w:t>
            </w:r>
          </w:p>
          <w:p>
            <w:pPr>
              <w:numPr>
                <w:ilvl w:val="0"/>
                <w:numId w:val="1003"/>
              </w:numPr>
            </w:pPr>
            <w:r>
              <w:t xml:space="preserve">What biological processes is this gene involved in?</w:t>
            </w:r>
          </w:p>
        </w:tc>
      </w:tr>
    </w:tbl>
    <w:bookmarkEnd w:id="70"/>
    <w:bookmarkEnd w:id="71"/>
    <w:bookmarkStart w:id="83"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72" w:name="creating-a-gene-list"/>
    <w:p>
      <w:pPr>
        <w:pStyle w:val="Heading3"/>
      </w:pPr>
      <w:r>
        <w:t xml:space="preserve">Creating a gene list</w:t>
      </w:r>
    </w:p>
    <w:p>
      <w:pPr>
        <w:pStyle w:val="FirstParagraph"/>
      </w:pPr>
      <w:r>
        <w:t xml:space="preserve">In the previous section, we identified genes with the highest and lowest log2FoldChange. However, this metric isn’t always the best indicator of differential expression. The adjusted p-value, or padj, is preferred over log2FoldChange for identifying statistically significant changes in gene expression because padj accounts for multiple testing. This is crucial when analyzing a large number of genes simultaneously, as each additional statistical test increases the risk of identifying a false positive. The adjusted p-value provides a statistical correction that minimizes this risk. log2FoldChange provides information about the magnitude of expression change, while padj indicates its statistical significance.</w:t>
      </w:r>
    </w:p>
    <w:p>
      <w:pPr>
        <w:pStyle w:val="BodyText"/>
      </w:pPr>
      <w:r>
        <w:t xml:space="preserve">Let’s create a list of all the genes that are differentially expressed between ASD and control mice using the</w:t>
      </w:r>
      <w:r>
        <w:t xml:space="preserve"> </w:t>
      </w:r>
      <w:r>
        <w:rPr>
          <w:rStyle w:val="VerbatimChar"/>
        </w:rPr>
        <w:t xml:space="preserve">filter</w:t>
      </w:r>
      <w:r>
        <w:t xml:space="preserve"> </w:t>
      </w:r>
      <w:r>
        <w:t xml:space="preserve">command. We’ll set the padj threshold to 0.05.</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bookmarkEnd w:id="72"/>
    <w:bookmarkStart w:id="82"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GeneID</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GeneID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GeneID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How many genes did you keep after filtering out any genes with a padj &gt; 0.05?</w:t>
            </w:r>
          </w:p>
          <w:p>
            <w:pPr>
              <w:numPr>
                <w:ilvl w:val="0"/>
                <w:numId w:val="1004"/>
              </w:numPr>
            </w:pPr>
            <w:r>
              <w:t xml:space="preserve">How many genes in #8 show increased expression in ASD-type mice?</w:t>
            </w:r>
          </w:p>
          <w:p>
            <w:pPr>
              <w:numPr>
                <w:ilvl w:val="0"/>
                <w:numId w:val="1004"/>
              </w:numPr>
            </w:pPr>
            <w:r>
              <w:t xml:space="preserve">Did the genes you identified in part 2 (the one with the greatest positive log2FoldChange, as well as the one with the greatest negative log2FoldChange) meet the padj threshold? That is, did you keep these genes in your dataset after filtering?</w:t>
            </w:r>
          </w:p>
          <w:p>
            <w:pPr>
              <w:numPr>
                <w:ilvl w:val="0"/>
                <w:numId w:val="1004"/>
              </w:numPr>
            </w:pPr>
            <w:r>
              <w:t xml:space="preserve">Is the differential expression pattern of Reg3a the same in the striatum as in the prefrontal cortex?</w:t>
            </w:r>
          </w:p>
        </w:tc>
      </w:tr>
    </w:tbl>
    <w:bookmarkStart w:id="81" w:name="refs"/>
    <w:bookmarkStart w:id="76" w:name="ref-sharon2019"/>
    <w:p>
      <w:pPr>
        <w:pStyle w:val="Bibliography"/>
      </w:pPr>
      <w:r>
        <w:t xml:space="preserve">[1]</w:t>
      </w:r>
      <w:r>
        <w:t xml:space="preserve"> </w:t>
      </w:r>
      <w:r>
        <w:t xml:space="preserve">	</w:t>
      </w:r>
      <w:r>
        <w:t xml:space="preserve">G. Sharon</w:t>
      </w:r>
      <w:r>
        <w:t xml:space="preserve"> </w:t>
      </w:r>
      <w:r>
        <w:rPr>
          <w:i/>
          <w:iCs/>
        </w:rPr>
        <w:t xml:space="preserve">et al.</w:t>
      </w:r>
      <w:r>
        <w:t xml:space="preserve">,</w:t>
      </w:r>
      <w:r>
        <w:t xml:space="preserve"> </w:t>
      </w:r>
      <w:r>
        <w:t xml:space="preserve">“Human gut microbiota from autism spectrum disorder promote behavioral symptoms in mice,”</w:t>
      </w:r>
      <w:r>
        <w:t xml:space="preserve"> </w:t>
      </w:r>
      <w:r>
        <w:rPr>
          <w:i/>
          <w:iCs/>
        </w:rPr>
        <w:t xml:space="preserve">Cell</w:t>
      </w:r>
      <w:r>
        <w:t xml:space="preserve">, vol. 177, no. 6, pp. 1600–1618, 2019, Available:</w:t>
      </w:r>
      <w:r>
        <w:t xml:space="preserve"> </w:t>
      </w:r>
      <w:hyperlink r:id="rId75">
        <w:r>
          <w:rPr>
            <w:rStyle w:val="Hyperlink"/>
          </w:rPr>
          <w:t xml:space="preserve">https://pubmed.ncbi.nlm.nih.gov/31150625/</w:t>
        </w:r>
      </w:hyperlink>
    </w:p>
    <w:bookmarkEnd w:id="76"/>
    <w:bookmarkStart w:id="78" w:name="ref-hu2024"/>
    <w:p>
      <w:pPr>
        <w:pStyle w:val="Bibliography"/>
      </w:pPr>
      <w:r>
        <w:t xml:space="preserve">[2]</w:t>
      </w:r>
      <w:r>
        <w:t xml:space="preserve"> </w:t>
      </w:r>
      <w:r>
        <w:t xml:space="preserve">	</w:t>
      </w:r>
      <w:r>
        <w:t xml:space="preserve">C. Hu,</w:t>
      </w:r>
      <w:r>
        <w:t xml:space="preserve"> </w:t>
      </w:r>
      <w:r>
        <w:t xml:space="preserve">“Of mice and model organisms.”</w:t>
      </w:r>
      <w:r>
        <w:t xml:space="preserve"> </w:t>
      </w:r>
      <w:r>
        <w:t xml:space="preserve">2024. Available:</w:t>
      </w:r>
      <w:r>
        <w:t xml:space="preserve"> </w:t>
      </w:r>
      <w:hyperlink r:id="rId77">
        <w:r>
          <w:rPr>
            <w:rStyle w:val="Hyperlink"/>
          </w:rPr>
          <w:t xml:space="preserve">https://www.cshl.edu/of-mice-and-model-organisms/</w:t>
        </w:r>
      </w:hyperlink>
    </w:p>
    <w:bookmarkEnd w:id="78"/>
    <w:bookmarkStart w:id="80" w:name="ref-FBR2025"/>
    <w:p>
      <w:pPr>
        <w:pStyle w:val="Bibliography"/>
      </w:pPr>
      <w:r>
        <w:t xml:space="preserve">[3]</w:t>
      </w:r>
      <w:r>
        <w:t xml:space="preserve"> </w:t>
      </w:r>
      <w:r>
        <w:t xml:space="preserve">	</w:t>
      </w:r>
      <w:r>
        <w:t xml:space="preserve">Foundation for Biomedical Research,</w:t>
      </w:r>
      <w:r>
        <w:t xml:space="preserve"> </w:t>
      </w:r>
      <w:r>
        <w:t xml:space="preserve">“Nobel prizes.”</w:t>
      </w:r>
      <w:r>
        <w:t xml:space="preserve"> </w:t>
      </w:r>
      <w:r>
        <w:t xml:space="preserve">2025. Available:</w:t>
      </w:r>
      <w:r>
        <w:t xml:space="preserve"> </w:t>
      </w:r>
      <w:hyperlink r:id="rId79">
        <w:r>
          <w:rPr>
            <w:rStyle w:val="Hyperlink"/>
          </w:rPr>
          <w:t xml:space="preserve">https://fbresearch.org/medical-advances/nobel-prizes/</w:t>
        </w:r>
      </w:hyperlink>
    </w:p>
    <w:bookmarkEnd w:id="80"/>
    <w:bookmarkEnd w:id="81"/>
    <w:bookmarkEnd w:id="82"/>
    <w:bookmarkEnd w:id="8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54" Target="media/rId54.png" /><Relationship Type="http://schemas.openxmlformats.org/officeDocument/2006/relationships/hyperlink" Id="rId50" Target="https://ensemblgenomes.org/" TargetMode="External" /><Relationship Type="http://schemas.openxmlformats.org/officeDocument/2006/relationships/hyperlink" Id="rId79" Target="https://fbresearch.org/medical-advances/nobel-prizes/" TargetMode="External" /><Relationship Type="http://schemas.openxmlformats.org/officeDocument/2006/relationships/hyperlink" Id="rId20" Target="https://pmc.ncbi.nlm.nih.gov/articles/PMC1114479/" TargetMode="External" /><Relationship Type="http://schemas.openxmlformats.org/officeDocument/2006/relationships/hyperlink" Id="rId31" Target="https://posit.cloud/plans/free" TargetMode="External" /><Relationship Type="http://schemas.openxmlformats.org/officeDocument/2006/relationships/hyperlink" Id="rId75" Target="https://pubmed.ncbi.nlm.nih.gov/31150625/" TargetMode="External" /><Relationship Type="http://schemas.openxmlformats.org/officeDocument/2006/relationships/hyperlink" Id="rId24" Target="https://www.cell.com/cell/fulltext/S0092-8674(19)30502-1" TargetMode="External" /><Relationship Type="http://schemas.openxmlformats.org/officeDocument/2006/relationships/hyperlink" Id="rId77" Target="https://www.cshl.edu/of-mice-and-model-organisms/" TargetMode="External" /><Relationship Type="http://schemas.openxmlformats.org/officeDocument/2006/relationships/hyperlink" Id="rId52" Target="https://www.informatics.jax.org" TargetMode="External" /><Relationship Type="http://schemas.openxmlformats.org/officeDocument/2006/relationships/hyperlink" Id="rId26" Target="https://www.informatics.jax.org/mgihome/other/homepage_IntroMouse.shtml" TargetMode="External" /><Relationship Type="http://schemas.openxmlformats.org/officeDocument/2006/relationships/hyperlink" Id="rId53"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50" Target="https://ensemblgenomes.org/" TargetMode="External" /><Relationship Type="http://schemas.openxmlformats.org/officeDocument/2006/relationships/hyperlink" Id="rId79" Target="https://fbresearch.org/medical-advances/nobel-prizes/" TargetMode="External" /><Relationship Type="http://schemas.openxmlformats.org/officeDocument/2006/relationships/hyperlink" Id="rId20" Target="https://pmc.ncbi.nlm.nih.gov/articles/PMC1114479/" TargetMode="External" /><Relationship Type="http://schemas.openxmlformats.org/officeDocument/2006/relationships/hyperlink" Id="rId31" Target="https://posit.cloud/plans/free" TargetMode="External" /><Relationship Type="http://schemas.openxmlformats.org/officeDocument/2006/relationships/hyperlink" Id="rId75" Target="https://pubmed.ncbi.nlm.nih.gov/31150625/" TargetMode="External" /><Relationship Type="http://schemas.openxmlformats.org/officeDocument/2006/relationships/hyperlink" Id="rId24" Target="https://www.cell.com/cell/fulltext/S0092-8674(19)30502-1" TargetMode="External" /><Relationship Type="http://schemas.openxmlformats.org/officeDocument/2006/relationships/hyperlink" Id="rId77" Target="https://www.cshl.edu/of-mice-and-model-organisms/" TargetMode="External" /><Relationship Type="http://schemas.openxmlformats.org/officeDocument/2006/relationships/hyperlink" Id="rId52" Target="https://www.informatics.jax.org" TargetMode="External" /><Relationship Type="http://schemas.openxmlformats.org/officeDocument/2006/relationships/hyperlink" Id="rId26" Target="https://www.informatics.jax.org/mgihome/other/homepage_IntroMouse.shtml" TargetMode="External" /><Relationship Type="http://schemas.openxmlformats.org/officeDocument/2006/relationships/hyperlink" Id="rId53"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2025-11-01T16:05:19Z</dcterms:created>
  <dcterms:modified xsi:type="dcterms:W3CDTF">2025-11-01T16:05:19Z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