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48.png" ContentType="image/png"/>
  <Override PartName="/word/media/rId51.png" ContentType="image/png"/>
  <Override PartName="/word/media/rId5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w:t>
      </w:r>
      <w:r>
        <w:t xml:space="preserve"> </w:t>
      </w:r>
      <w:r>
        <w:t xml:space="preserve">Expression</w:t>
      </w:r>
      <w:r>
        <w:t xml:space="preserve"> </w:t>
      </w:r>
      <w:r>
        <w:t xml:space="preserve">and</w:t>
      </w:r>
      <w:r>
        <w:t xml:space="preserve"> </w:t>
      </w:r>
      <w:r>
        <w:t xml:space="preserve">the</w:t>
      </w:r>
      <w:r>
        <w:t xml:space="preserve"> </w:t>
      </w:r>
      <w:r>
        <w:t xml:space="preserve">Mouse</w:t>
      </w:r>
      <w:r>
        <w:t xml:space="preserve"> </w:t>
      </w:r>
      <w:r>
        <w:t xml:space="preserve">Gut-Brain</w:t>
      </w:r>
      <w:r>
        <w:t xml:space="preserve"> </w:t>
      </w:r>
      <w: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8"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w:t>
      </w:r>
      <w:r>
        <w:t xml:space="preserve"> </w:t>
      </w:r>
      <w:r>
        <w:t xml:space="preserve">[1]</w:t>
      </w:r>
      <w:r>
        <w:t xml:space="preserve">.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w:t>
      </w:r>
      <w:r>
        <w:t xml:space="preserve"> </w:t>
      </w:r>
      <w:r>
        <w:t xml:space="preserve">[2], [3]</w:t>
      </w:r>
      <w:r>
        <w:t xml:space="preserve">.</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2" w:name="start-posit-cloud"/>
    <w:p>
      <w:pPr>
        <w:pStyle w:val="Heading3"/>
      </w:pPr>
      <w:r>
        <w:t xml:space="preserve">Start Posit Cloud</w:t>
      </w:r>
    </w:p>
    <w:p>
      <w:pPr>
        <w:pStyle w:val="FirstParagraph"/>
      </w:pPr>
      <w:r>
        <w:t xml:space="preserve">In the next steps, we will explore the data from the publication described above.</w:t>
      </w:r>
    </w:p>
    <w:p>
      <w:pPr>
        <w:pStyle w:val="BodyText"/>
      </w:pPr>
      <w:r>
        <w:t xml:space="preserve">We will use Posit Cloud for this activity. Go to</w:t>
      </w:r>
      <w:r>
        <w:t xml:space="preserve"> </w:t>
      </w:r>
      <w:hyperlink r:id="rId31">
        <w:r>
          <w:rPr>
            <w:rStyle w:val="Hyperlink"/>
          </w:rPr>
          <w:t xml:space="preserve">https://posit.cloud/plans/free</w:t>
        </w:r>
      </w:hyperlink>
      <w:r>
        <w:t xml:space="preserve"> </w:t>
      </w:r>
      <w:r>
        <w:t xml:space="preserve">and follow the steps to sign up. You can also Log In using the button on the top right if you have used Posit Cloud in the past.</w:t>
      </w:r>
    </w:p>
    <w:p>
      <w:pPr>
        <w:pStyle w:val="BodyText"/>
      </w:pPr>
      <w:r>
        <w:t xml:space="preserve">TODO: Add figure</w:t>
      </w:r>
    </w:p>
    <w:p>
      <w:pPr>
        <w:pStyle w:val="BodyText"/>
      </w:pPr>
      <w:r>
        <w:t xml:space="preserve">Once logged in, select</w:t>
      </w:r>
      <w:r>
        <w:t xml:space="preserve"> </w:t>
      </w:r>
      <w:r>
        <w:t xml:space="preserve">“</w:t>
      </w:r>
      <w:r>
        <w:t xml:space="preserve">New Project</w:t>
      </w:r>
      <w:r>
        <w:t xml:space="preserve">”</w:t>
      </w:r>
      <w:r>
        <w:t xml:space="preserve"> </w:t>
      </w:r>
      <w:r>
        <w:t xml:space="preserve">and</w:t>
      </w:r>
      <w:r>
        <w:t xml:space="preserve"> </w:t>
      </w:r>
      <w:r>
        <w:t xml:space="preserve">“</w:t>
      </w:r>
      <w:r>
        <w:t xml:space="preserve">New RStudio Project</w:t>
      </w:r>
      <w:r>
        <w:t xml:space="preserve">”</w:t>
      </w:r>
      <w:r>
        <w:t xml:space="preserve">. It will take a few seconds to deploy and load.</w:t>
      </w:r>
    </w:p>
    <w:p>
      <w:pPr>
        <w:pStyle w:val="BodyText"/>
      </w:pPr>
      <w:r>
        <w:t xml:space="preserve">TODO: Add figure</w:t>
      </w:r>
    </w:p>
    <w:p>
      <w:pPr>
        <w:pStyle w:val="BodyText"/>
      </w:pPr>
      <w:r>
        <w:t xml:space="preserve">Rename your project</w:t>
      </w:r>
      <w:r>
        <w:t xml:space="preserve"> </w:t>
      </w:r>
      <w:r>
        <w:t xml:space="preserve">“</w:t>
      </w:r>
      <w:r>
        <w:t xml:space="preserve">Differential Expression Mouse GutBrain</w:t>
      </w:r>
      <w:r>
        <w:t xml:space="preserve">”</w:t>
      </w:r>
      <w:r>
        <w:t xml:space="preserve"> </w:t>
      </w:r>
      <w:r>
        <w:t xml:space="preserve">by clicking on</w:t>
      </w:r>
      <w:r>
        <w:t xml:space="preserve"> </w:t>
      </w:r>
      <w:r>
        <w:t xml:space="preserve">“</w:t>
      </w:r>
      <w:r>
        <w:t xml:space="preserve">Untitled Project</w:t>
      </w:r>
      <w:r>
        <w:t xml:space="preserve">”</w:t>
      </w:r>
      <w:r>
        <w:t xml:space="preserve">.</w:t>
      </w:r>
    </w:p>
    <w:p>
      <w:pPr>
        <w:pStyle w:val="BodyText"/>
      </w:pPr>
      <w:r>
        <w:t xml:space="preserve">TODO: Add figure</w:t>
      </w:r>
    </w:p>
    <w:bookmarkEnd w:id="32"/>
    <w:bookmarkStart w:id="36"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TODO: Add figure</w:t>
      </w:r>
    </w:p>
    <w:p>
      <w:pPr>
        <w:pStyle w:val="BodyText"/>
      </w:pPr>
      <w:r>
        <w:t xml:space="preserve">Next, we will load the package so it’s ready to use:</w:t>
      </w:r>
    </w:p>
    <w:p>
      <w:pPr>
        <w:pStyle w:val="SourceCode"/>
      </w:pPr>
      <w:r>
        <w:rPr>
          <w:rStyle w:val="FunctionTok"/>
        </w:rPr>
        <w:t xml:space="preserve">library</w:t>
      </w:r>
      <w:r>
        <w:rPr>
          <w:rStyle w:val="NormalTok"/>
        </w:rPr>
        <w:t xml:space="preserve">(tidyverse)</w:t>
      </w:r>
    </w:p>
    <w:p>
      <w:pPr>
        <w:pStyle w:val="FirstParagraph"/>
      </w:pPr>
      <w:r>
        <w:t xml:space="preserve">TODO: Add figure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tidyverse</w:t>
            </w:r>
            <w:r>
              <w:t xml:space="preserve">”</w:t>
            </w:r>
            <w:r>
              <w:t xml:space="preserve"> </w:t>
            </w:r>
            <w:r>
              <w:t xml:space="preserve">package that you loaded is useful for loading, wrangling, and exploring data.</w:t>
            </w:r>
          </w:p>
        </w:tc>
      </w:tr>
    </w:tbl>
    <w:bookmarkEnd w:id="36"/>
    <w:bookmarkStart w:id="37"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7"/>
    <w:bookmarkEnd w:id="38"/>
    <w:bookmarkStart w:id="62"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pStyle w:val="FirstParagraph"/>
            </w:pPr>
            <w:r>
              <w:t xml:space="preserve">-</w:t>
            </w:r>
            <w:r>
              <w:rPr>
                <w:b/>
                <w:bCs/>
              </w:rPr>
              <w:t xml:space="preserve">pvalue</w:t>
            </w:r>
            <w:r>
              <w:t xml:space="preserve">: the p-value for the log2FoldChange.</w:t>
            </w:r>
          </w:p>
          <w:p>
            <w:pPr>
              <w:pStyle w:val="BodyText"/>
            </w:pPr>
            <w:pPr>
              <w:spacing w:after="16"/>
            </w:pPr>
            <w:r>
              <w:t xml:space="preserve">-</w:t>
            </w:r>
            <w:r>
              <w:rPr>
                <w:b/>
                <w:bCs/>
              </w:rPr>
              <w:t xml:space="preserve">padj</w:t>
            </w:r>
            <w:r>
              <w:t xml:space="preserve">: the p-value, adjusted for multiple testing.</w:t>
            </w:r>
          </w:p>
        </w:tc>
      </w:tr>
    </w:tbl>
    <w:p>
      <w:pPr>
        <w:pStyle w:val="BodyText"/>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41">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2"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2"/>
    <w:bookmarkStart w:id="61"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3">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4">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drawing>
          <wp:inline>
            <wp:extent cx="5334000" cy="3000375"/>
            <wp:effectExtent b="0" l="0" r="0" t="0"/>
            <wp:docPr descr="" title="" id="46" name="Picture"/>
            <a:graphic>
              <a:graphicData uri="http://schemas.openxmlformats.org/drawingml/2006/picture">
                <pic:pic>
                  <pic:nvPicPr>
                    <pic:cNvPr descr="resources/images/mouse_gutbrain_de_student_guide_files/figure-docx//1vikcyml6uw-_DaC1yFpS-UWoWNEGxFukMB_eCi42BqY_g357f7ed062e_9_0.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drawing>
          <wp:inline>
            <wp:extent cx="5334000" cy="3000375"/>
            <wp:effectExtent b="0" l="0" r="0" t="0"/>
            <wp:docPr descr="" title="" id="49" name="Picture"/>
            <a:graphic>
              <a:graphicData uri="http://schemas.openxmlformats.org/drawingml/2006/picture">
                <pic:pic>
                  <pic:nvPicPr>
                    <pic:cNvPr descr="resources/images/mouse_gutbrain_de_student_guide_files/figure-docx//1vikcyml6uw-_DaC1yFpS-UWoWNEGxFukMB_eCi42BqY_g3412c9eee7c_0_1.png" id="5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After you type the gene ID into the Search bar and hit enter, you should see a new page with basic information about the gene. Click on the gene symbol (in this example, Reg3a) to get more detailed information.</w:t>
      </w:r>
    </w:p>
    <w:p>
      <w:pPr>
        <w:pStyle w:val="BodyText"/>
      </w:pPr>
      <w:r>
        <w:drawing>
          <wp:inline>
            <wp:extent cx="5334000" cy="3000375"/>
            <wp:effectExtent b="0" l="0" r="0" t="0"/>
            <wp:docPr descr="" title="" id="52" name="Picture"/>
            <a:graphic>
              <a:graphicData uri="http://schemas.openxmlformats.org/drawingml/2006/picture">
                <pic:pic>
                  <pic:nvPicPr>
                    <pic:cNvPr descr="resources/images/mouse_gutbrain_de_student_guide_files/figure-docx//1vikcyml6uw-_DaC1yFpS-UWoWNEGxFukMB_eCi42BqY_g346083d4dc0_0_0.pn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p>
      <w:pPr>
        <w:pStyle w:val="BodyText"/>
      </w:pPr>
      <w:r>
        <w:drawing>
          <wp:inline>
            <wp:extent cx="5334000" cy="3000375"/>
            <wp:effectExtent b="0" l="0" r="0" t="0"/>
            <wp:docPr descr="" title="" id="57" name="Picture"/>
            <a:graphic>
              <a:graphicData uri="http://schemas.openxmlformats.org/drawingml/2006/picture">
                <pic:pic>
                  <pic:nvPicPr>
                    <pic:cNvPr descr="resources/images/mouse_gutbrain_de_student_guide_files/figure-docx//1vikcyml6uw-_DaC1yFpS-UWoWNEGxFukMB_eCi42BqY_g346083d4dc0_0_11.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61"/>
    <w:bookmarkEnd w:id="62"/>
    <w:bookmarkStart w:id="74"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63"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63"/>
    <w:bookmarkStart w:id="73"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Start w:id="72" w:name="refs"/>
    <w:bookmarkStart w:id="67" w:name="ref-sharon2019"/>
    <w:p>
      <w:pPr>
        <w:pStyle w:val="Bibliography"/>
      </w:pPr>
      <w:r>
        <w:t xml:space="preserve">[1]</w:t>
      </w:r>
      <w:r>
        <w:t xml:space="preserve"> </w:t>
      </w:r>
      <w:r>
        <w:t xml:space="preserve">	</w:t>
      </w:r>
      <w:r>
        <w:t xml:space="preserve">G. Sharon</w:t>
      </w:r>
      <w:r>
        <w:t xml:space="preserve"> </w:t>
      </w:r>
      <w:r>
        <w:rPr>
          <w:i/>
          <w:iCs/>
        </w:rPr>
        <w:t xml:space="preserve">et al.</w:t>
      </w:r>
      <w:r>
        <w:t xml:space="preserve">,</w:t>
      </w:r>
      <w:r>
        <w:t xml:space="preserve"> </w:t>
      </w:r>
      <w:r>
        <w:t xml:space="preserve">“Human gut microbiota from autism spectrum disorder promote behavioral symptoms in mice,”</w:t>
      </w:r>
      <w:r>
        <w:t xml:space="preserve"> </w:t>
      </w:r>
      <w:r>
        <w:rPr>
          <w:i/>
          <w:iCs/>
        </w:rPr>
        <w:t xml:space="preserve">Cell</w:t>
      </w:r>
      <w:r>
        <w:t xml:space="preserve">, vol. 177, no. 6, pp. 1600–1618, 2019, Available:</w:t>
      </w:r>
      <w:r>
        <w:t xml:space="preserve"> </w:t>
      </w:r>
      <w:hyperlink r:id="rId66">
        <w:r>
          <w:rPr>
            <w:rStyle w:val="Hyperlink"/>
          </w:rPr>
          <w:t xml:space="preserve">https://pubmed.ncbi.nlm.nih.gov/31150625/</w:t>
        </w:r>
      </w:hyperlink>
    </w:p>
    <w:bookmarkEnd w:id="67"/>
    <w:bookmarkStart w:id="69" w:name="ref-hu2024"/>
    <w:p>
      <w:pPr>
        <w:pStyle w:val="Bibliography"/>
      </w:pPr>
      <w:r>
        <w:t xml:space="preserve">[2]</w:t>
      </w:r>
      <w:r>
        <w:t xml:space="preserve"> </w:t>
      </w:r>
      <w:r>
        <w:t xml:space="preserve">	</w:t>
      </w:r>
      <w:r>
        <w:t xml:space="preserve">C. Hu,</w:t>
      </w:r>
      <w:r>
        <w:t xml:space="preserve"> </w:t>
      </w:r>
      <w:r>
        <w:t xml:space="preserve">“Of mice and model organisms.”</w:t>
      </w:r>
      <w:r>
        <w:t xml:space="preserve"> </w:t>
      </w:r>
      <w:r>
        <w:t xml:space="preserve">2024. Available:</w:t>
      </w:r>
      <w:r>
        <w:t xml:space="preserve"> </w:t>
      </w:r>
      <w:hyperlink r:id="rId68">
        <w:r>
          <w:rPr>
            <w:rStyle w:val="Hyperlink"/>
          </w:rPr>
          <w:t xml:space="preserve">https://www.cshl.edu/of-mice-and-model-organisms/</w:t>
        </w:r>
      </w:hyperlink>
    </w:p>
    <w:bookmarkEnd w:id="69"/>
    <w:bookmarkStart w:id="71" w:name="ref-FBR2025"/>
    <w:p>
      <w:pPr>
        <w:pStyle w:val="Bibliography"/>
      </w:pPr>
      <w:r>
        <w:t xml:space="preserve">[3]</w:t>
      </w:r>
      <w:r>
        <w:t xml:space="preserve"> </w:t>
      </w:r>
      <w:r>
        <w:t xml:space="preserve">	</w:t>
      </w:r>
      <w:r>
        <w:t xml:space="preserve">Foundation for Biomedical Research,</w:t>
      </w:r>
      <w:r>
        <w:t xml:space="preserve"> </w:t>
      </w:r>
      <w:r>
        <w:t xml:space="preserve">“Nobel prizes.”</w:t>
      </w:r>
      <w:r>
        <w:t xml:space="preserve"> </w:t>
      </w:r>
      <w:r>
        <w:t xml:space="preserve">2025. Available:</w:t>
      </w:r>
      <w:r>
        <w:t xml:space="preserve"> </w:t>
      </w:r>
      <w:hyperlink r:id="rId70">
        <w:r>
          <w:rPr>
            <w:rStyle w:val="Hyperlink"/>
          </w:rPr>
          <w:t xml:space="preserve">https://fbresearch.org/medical-advances/nobel-prizes/</w:t>
        </w:r>
      </w:hyperlink>
    </w:p>
    <w:bookmarkEnd w:id="71"/>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2025-07-24T16:31:43Z</dcterms:created>
  <dcterms:modified xsi:type="dcterms:W3CDTF">2025-07-24T16:31:43Z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../book.bib</vt:lpwstr>
  </property>
  <property fmtid="{D5CDD505-2E9C-101B-9397-08002B2CF9AE}" pid="4" name="csl">
    <vt:lpwstr>../resources/ieee-with-url.csl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