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Differential</w:t>
      </w:r>
      <w:r>
        <w:t xml:space="preserve"> </w:t>
      </w:r>
      <w:r>
        <w:t xml:space="preserve">Expression</w:t>
      </w:r>
      <w:r>
        <w:t xml:space="preserve"> </w:t>
      </w:r>
      <w:r>
        <w:t xml:space="preserve">and</w:t>
      </w:r>
      <w:r>
        <w:t xml:space="preserve"> </w:t>
      </w:r>
      <w:r>
        <w:t xml:space="preserve">the</w:t>
      </w:r>
      <w:r>
        <w:t xml:space="preserve"> </w:t>
      </w:r>
      <w:r>
        <w:t xml:space="preserve">Mouse</w:t>
      </w:r>
      <w:r>
        <w:t xml:space="preserve"> </w:t>
      </w:r>
      <w:r>
        <w:t xml:space="preserve">Gut-Brain</w:t>
      </w:r>
      <w:r>
        <w:t xml:space="preserve"> </w:t>
      </w:r>
      <w:r>
        <w:t xml:space="preserve">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36"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w:t>
      </w:r>
      <w:r>
        <w:t xml:space="preserve">processing</w:t>
      </w:r>
      <w:r>
        <w:t xml:space="preserve">”</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w:t>
      </w:r>
      <w:r>
        <w:t xml:space="preserve">striatum</w:t>
      </w:r>
      <w:r>
        <w:t xml:space="preserve">”</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 (https://www.cshl.edu/of-mice-and-model-organisms/, https://fbresearch.org/medical-advances/nobel-prizes).</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4"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"readr"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SourceCode"/>
      </w:pPr>
      <w:r>
        <w:rPr>
          <w:rStyle w:val="FunctionTok"/>
        </w:rPr>
        <w:t xml:space="preserve">install.packages</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FirstParagraph"/>
      </w:pPr>
      <w:r>
        <w:t xml:space="preserve">Next, we will load the package so it’s ready to use:</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w:t>
            </w:r>
            <w:r>
              <w:t xml:space="preserve">expansion packs</w:t>
            </w:r>
            <w:r>
              <w:t xml:space="preserve">”</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w:t>
            </w:r>
            <w:r>
              <w:t xml:space="preserve">readr</w:t>
            </w:r>
            <w:r>
              <w:t xml:space="preserve">”</w:t>
            </w:r>
            <w:r>
              <w:t xml:space="preserve"> </w:t>
            </w:r>
            <w:r>
              <w:t xml:space="preserve">package is helpful for loading data, and the</w:t>
            </w:r>
            <w:r>
              <w:t xml:space="preserve"> </w:t>
            </w:r>
            <w:r>
              <w:t xml:space="preserve">“</w:t>
            </w:r>
            <w:r>
              <w:t xml:space="preserve">dplyr</w:t>
            </w:r>
            <w:r>
              <w:t xml:space="preserve">”</w:t>
            </w:r>
            <w:r>
              <w:t xml:space="preserve"> </w:t>
            </w:r>
            <w:r>
              <w:t xml:space="preserve">package that you loaded is useful wrangling and exploring data.</w:t>
            </w:r>
          </w:p>
        </w:tc>
      </w:tr>
    </w:tbl>
    <w:bookmarkEnd w:id="34"/>
    <w:bookmarkStart w:id="35"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w:t>
      </w:r>
      <w:r>
        <w:t xml:space="preserve">turned on</w:t>
      </w:r>
      <w:r>
        <w:t xml:space="preserve">”</w:t>
      </w:r>
      <w:r>
        <w:t xml:space="preserve">, while others are</w:t>
      </w:r>
      <w:r>
        <w:t xml:space="preserve"> </w:t>
      </w:r>
      <w:r>
        <w:t xml:space="preserve">“</w:t>
      </w:r>
      <w:r>
        <w:t xml:space="preserve">turned off</w:t>
      </w:r>
      <w:r>
        <w:t xml:space="preserve">”</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5"/>
    <w:bookmarkEnd w:id="36"/>
    <w:bookmarkStart w:id="48"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tip.png" id="38"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numPr>
                <w:ilvl w:val="0"/>
                <w:numId w:val="1002"/>
              </w:numPr>
            </w:pPr>
            <w:r>
              <w:rPr>
                <w:b/>
                <w:bCs/>
              </w:rPr>
              <w:t xml:space="preserve">gene</w:t>
            </w:r>
            <w:r>
              <w:t xml:space="preserve">: the geneID (see below for more detail).</w:t>
            </w:r>
          </w:p>
          <w:p>
            <w:pPr>
              <w:numPr>
                <w:ilvl w:val="0"/>
                <w:numId w:val="1002"/>
              </w:numPr>
            </w:pPr>
            <w:r>
              <w:rPr>
                <w:b/>
                <w:bCs/>
              </w:rPr>
              <w:t xml:space="preserve">baseMean</w:t>
            </w:r>
            <w:r>
              <w:t xml:space="preserve">: the average of the normalized count values for this gene, taken over all samples.</w:t>
            </w:r>
          </w:p>
          <w:p>
            <w:pPr>
              <w:numPr>
                <w:ilvl w:val="0"/>
                <w:numId w:val="1002"/>
              </w:numPr>
            </w:pP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p>
          <w:p>
            <w:pPr>
              <w:numPr>
                <w:ilvl w:val="0"/>
                <w:numId w:val="1002"/>
              </w:numPr>
            </w:pPr>
            <w:r>
              <w:rPr>
                <w:b/>
                <w:bCs/>
              </w:rPr>
              <w:t xml:space="preserve">lfcSE</w:t>
            </w:r>
            <w:r>
              <w:t xml:space="preserve">: the standard error calculated for log2FoldChange.</w:t>
            </w:r>
          </w:p>
          <w:p>
            <w:pPr>
              <w:numPr>
                <w:ilvl w:val="0"/>
                <w:numId w:val="1002"/>
              </w:numPr>
            </w:pPr>
            <w:r>
              <w:rPr>
                <w:b/>
                <w:bCs/>
              </w:rPr>
              <w:t xml:space="preserve">stat</w:t>
            </w:r>
            <w:r>
              <w:t xml:space="preserve">: t-value calculated to determine if the log2FoldChange is significantly different from zero.</w:t>
            </w:r>
          </w:p>
          <w:p>
            <w:pPr>
              <w:numPr>
                <w:ilvl w:val="0"/>
                <w:numId w:val="1002"/>
              </w:numPr>
            </w:pPr>
            <w:r>
              <w:rPr>
                <w:b/>
                <w:bCs/>
              </w:rPr>
              <w:t xml:space="preserve">pvalue</w:t>
            </w:r>
            <w:r>
              <w:t xml:space="preserve">: the p-value for the log2FoldChange.</w:t>
            </w:r>
          </w:p>
          <w:p>
            <w:pPr>
              <w:numPr>
                <w:ilvl w:val="0"/>
                <w:numId w:val="1002"/>
              </w:numPr>
            </w:pPr>
            <w:r>
              <w:rPr>
                <w:b/>
                <w:bCs/>
              </w:rPr>
              <w:t xml:space="preserve">padj</w:t>
            </w:r>
            <w:r>
              <w:t xml:space="preserve">: the p-value, adjusted for multiple testing.</w:t>
            </w:r>
          </w:p>
        </w:tc>
      </w:tr>
    </w:tbl>
    <w:p>
      <w:pPr>
        <w:pStyle w:val="FirstParagraph"/>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w:t>
      </w:r>
      <w:r>
        <w:t xml:space="preserve">Ensembl</w:t>
      </w:r>
      <w:r>
        <w:t xml:space="preserve">”</w:t>
      </w:r>
      <w:r>
        <w:t xml:space="preserve">. Ensembl is a</w:t>
      </w:r>
      <w:r>
        <w:t xml:space="preserve"> </w:t>
      </w:r>
      <w:hyperlink r:id="rId39">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w:t>
      </w:r>
      <w:r>
        <w:t xml:space="preserve">ENS</w:t>
      </w:r>
      <w:r>
        <w:t xml:space="preserve">”</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w:t>
      </w:r>
      <w:r>
        <w:t xml:space="preserve">Mus</w:t>
      </w:r>
      <w:r>
        <w:t xml:space="preserve">”</w:t>
      </w:r>
      <w:r>
        <w:t xml:space="preserve">, which is the genus for the mouse.</w:t>
      </w:r>
    </w:p>
    <w:p>
      <w:pPr>
        <w:pStyle w:val="BodyText"/>
      </w:pPr>
      <w:r>
        <w:rPr>
          <w:b/>
          <w:bCs/>
        </w:rPr>
        <w:t xml:space="preserve">G</w:t>
      </w:r>
      <w:r>
        <w:t xml:space="preserve"> </w:t>
      </w:r>
      <w:r>
        <w:t xml:space="preserve">stands for</w:t>
      </w:r>
      <w:r>
        <w:t xml:space="preserve"> </w:t>
      </w:r>
      <w:r>
        <w:t xml:space="preserve">“</w:t>
      </w:r>
      <w:r>
        <w:t xml:space="preserve">Gene</w:t>
      </w:r>
      <w:r>
        <w:t xml:space="preserve">”</w:t>
      </w:r>
      <w:r>
        <w:t xml:space="preserve">. When you see</w:t>
      </w:r>
      <w:r>
        <w:t xml:space="preserve"> </w:t>
      </w:r>
      <w:r>
        <w:t xml:space="preserve">“</w:t>
      </w:r>
      <w:r>
        <w:t xml:space="preserve">G</w:t>
      </w:r>
      <w:r>
        <w:t xml:space="preserve">”</w:t>
      </w:r>
      <w:r>
        <w:t xml:space="preserve"> </w:t>
      </w:r>
      <w:r>
        <w:t xml:space="preserve">in the ID name, you know you are working with a gene. There are also codes for transcripts (</w:t>
      </w:r>
      <w:r>
        <w:t xml:space="preserve">“</w:t>
      </w:r>
      <w:r>
        <w:t xml:space="preserve">T</w:t>
      </w:r>
      <w:r>
        <w:t xml:space="preserve">”</w:t>
      </w:r>
      <w:r>
        <w:t xml:space="preserve">), exons (</w:t>
      </w:r>
      <w:r>
        <w:t xml:space="preserve">“</w:t>
      </w:r>
      <w:r>
        <w:t xml:space="preserve">E</w:t>
      </w:r>
      <w:r>
        <w:t xml:space="preserve">”</w:t>
      </w:r>
      <w:r>
        <w:t xml:space="preserve">), and proteins (</w:t>
      </w:r>
      <w:r>
        <w:t xml:space="preserve">“</w:t>
      </w:r>
      <w:r>
        <w:t xml:space="preserve">P</w:t>
      </w:r>
      <w:r>
        <w:t xml:space="preserve">”</w:t>
      </w:r>
      <w:r>
        <w:t xml:space="preserve">).</w:t>
      </w:r>
    </w:p>
    <w:p>
      <w:pPr>
        <w:pStyle w:val="BodyText"/>
      </w:pPr>
      <w:r>
        <w:rPr>
          <w:b/>
          <w:bCs/>
        </w:rPr>
        <w:t xml:space="preserve">00000000001</w:t>
      </w:r>
      <w:r>
        <w:t xml:space="preserve"> </w:t>
      </w:r>
      <w:r>
        <w:t xml:space="preserve">is the numerical code associated with the gene.</w:t>
      </w:r>
    </w:p>
    <w:bookmarkStart w:id="40"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0"/>
    <w:bookmarkStart w:id="47"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1">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2">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w:t>
      </w:r>
      <w:r>
        <w:t xml:space="preserve">Genes</w:t>
      </w:r>
      <w:r>
        <w:t xml:space="preserve">”</w:t>
      </w:r>
      <w:r>
        <w:t xml:space="preserve"> </w:t>
      </w:r>
      <w:r>
        <w:t xml:space="preserve">button.</w:t>
      </w:r>
    </w:p>
    <w:p>
      <w:pPr>
        <w:pStyle w:val="BodyText"/>
      </w:pPr>
      <w:r>
        <w:t xml:space="preserve">Next, type the gene ID into the</w:t>
      </w:r>
      <w:r>
        <w:t xml:space="preserve"> </w:t>
      </w:r>
      <w:r>
        <w:t xml:space="preserve">“</w:t>
      </w:r>
      <w:r>
        <w:t xml:space="preserve">Search</w:t>
      </w:r>
      <w:r>
        <w:t xml:space="preserve">”</w:t>
      </w:r>
      <w:r>
        <w:t xml:space="preserve"> </w:t>
      </w:r>
      <w:r>
        <w:t xml:space="preserve">bar up top. We’ll look up</w:t>
      </w:r>
      <w:r>
        <w:t xml:space="preserve"> </w:t>
      </w:r>
      <w:r>
        <w:t xml:space="preserve">“</w:t>
      </w:r>
      <w:r>
        <w:t xml:space="preserve">ENSMUSG00000079516</w:t>
      </w:r>
      <w:r>
        <w:t xml:space="preserve">”</w:t>
      </w:r>
      <w:r>
        <w:t xml:space="preserve">.</w:t>
      </w:r>
    </w:p>
    <w:p>
      <w:pPr>
        <w:pStyle w:val="BodyText"/>
      </w:pPr>
      <w:r>
        <w:t xml:space="preserve">After you type the gene ID into the Search bar and hit enter, you should see a new page with basic information about the gene. Click on the gene symbol (in this example, Reg3a) to get more detailed information.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tip.png" id="44"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w:t>
            </w:r>
            <w:r>
              <w:t xml:space="preserve">pseudogenes</w:t>
            </w:r>
            <w:r>
              <w:t xml:space="preserve">”</w:t>
            </w:r>
            <w:r>
              <w:t xml:space="preserve">,</w:t>
            </w:r>
            <w:r>
              <w:t xml:space="preserve"> </w:t>
            </w:r>
            <w:r>
              <w:t xml:space="preserve">“</w:t>
            </w:r>
            <w:r>
              <w:t xml:space="preserve">putative genes</w:t>
            </w:r>
            <w:r>
              <w:t xml:space="preserve">”</w:t>
            </w:r>
            <w:r>
              <w:t xml:space="preserve">, and</w:t>
            </w:r>
            <w:r>
              <w:t xml:space="preserve"> </w:t>
            </w:r>
            <w:r>
              <w:t xml:space="preserve">“</w:t>
            </w:r>
            <w:r>
              <w:t xml:space="preserve">lncRNA</w:t>
            </w:r>
            <w:r>
              <w:t xml:space="preserve">”</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w:t>
            </w:r>
            <w:r>
              <w:t xml:space="preserve">long non-coding RNA</w:t>
            </w:r>
            <w:r>
              <w:t xml:space="preserve">”</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w:t>
      </w:r>
      <w:r>
        <w:t xml:space="preserve">gene ontology</w:t>
      </w:r>
      <w:r>
        <w:t xml:space="preserve">”</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note.png" id="4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What gene shows the greatest upregulation (increase in gene expression) in ASD-type mice compared to control mice? Give both the gene ID and the gene name.</w:t>
            </w:r>
          </w:p>
          <w:p>
            <w:pPr>
              <w:numPr>
                <w:ilvl w:val="0"/>
                <w:numId w:val="1003"/>
              </w:numPr>
            </w:pPr>
            <w:r>
              <w:t xml:space="preserve">What molecular functions does this gene do?</w:t>
            </w:r>
          </w:p>
          <w:p>
            <w:pPr>
              <w:numPr>
                <w:ilvl w:val="0"/>
                <w:numId w:val="1003"/>
              </w:numPr>
            </w:pPr>
            <w:r>
              <w:t xml:space="preserve">What gene shows the greatest downregulation (decrease in gene expression) in ASD-type mice compared to control mice? Give both the gene ID and the gene name.</w:t>
            </w:r>
          </w:p>
          <w:p>
            <w:pPr>
              <w:numPr>
                <w:ilvl w:val="0"/>
                <w:numId w:val="1003"/>
              </w:numPr>
            </w:pPr>
            <w:r>
              <w:t xml:space="preserve">What biological processes is this gene involved in?</w:t>
            </w:r>
          </w:p>
        </w:tc>
      </w:tr>
    </w:tbl>
    <w:bookmarkEnd w:id="47"/>
    <w:bookmarkEnd w:id="48"/>
    <w:bookmarkStart w:id="53"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49"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49"/>
    <w:bookmarkStart w:id="52"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4"/>
              </w:numPr>
            </w:pPr>
            <w:r>
              <w:t xml:space="preserve">How many genes did you keep after filtering out any genes with a padj &gt; 0.05?</w:t>
            </w:r>
          </w:p>
          <w:p>
            <w:pPr>
              <w:numPr>
                <w:ilvl w:val="0"/>
                <w:numId w:val="1004"/>
              </w:numPr>
            </w:pPr>
            <w:r>
              <w:t xml:space="preserve">How many genes in #8 show increased expression in ASD-type mice?</w:t>
            </w:r>
          </w:p>
          <w:p>
            <w:pPr>
              <w:numPr>
                <w:ilvl w:val="0"/>
                <w:numId w:val="1004"/>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4"/>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hyperlink" Id="rId39"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1" Target="https://www.informatics.jax.org" TargetMode="External" /><Relationship Type="http://schemas.openxmlformats.org/officeDocument/2006/relationships/hyperlink" Id="rId42"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39"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1" Target="https://www.informatics.jax.org" TargetMode="External" /><Relationship Type="http://schemas.openxmlformats.org/officeDocument/2006/relationships/hyperlink" Id="rId42"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2025-07-23T01:00:01Z</dcterms:created>
  <dcterms:modified xsi:type="dcterms:W3CDTF">2025-07-23T01:00:01Z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