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 Expression and the Mouse Gut-Brain 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“processing”</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“striatum”</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“expansion packs”</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“readr”</w:t>
            </w:r>
            <w:r>
              <w:t xml:space="preserve"> </w:t>
            </w:r>
            <w:r>
              <w:t xml:space="preserve">package is helpful for loading data, and the</w:t>
            </w:r>
            <w:r>
              <w:t xml:space="preserve"> </w:t>
            </w:r>
            <w:r>
              <w:t xml:space="preserve">“dplyr”</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“turned on”</w:t>
      </w:r>
      <w:r>
        <w:t xml:space="preserve">, while others are</w:t>
      </w:r>
      <w:r>
        <w:t xml:space="preserve"> </w:t>
      </w:r>
      <w:r>
        <w:t xml:space="preserve">“turned off”</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“Ensembl”</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“ENS”</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“Mus”</w:t>
      </w:r>
      <w:r>
        <w:t xml:space="preserve">, which is the genus for the mouse.</w:t>
      </w:r>
    </w:p>
    <w:p>
      <w:pPr>
        <w:pStyle w:val="BodyText"/>
      </w:pPr>
      <w:r>
        <w:rPr>
          <w:b/>
          <w:bCs/>
        </w:rPr>
        <w:t xml:space="preserve">G</w:t>
      </w:r>
      <w:r>
        <w:t xml:space="preserve"> </w:t>
      </w:r>
      <w:r>
        <w:t xml:space="preserve">stands for</w:t>
      </w:r>
      <w:r>
        <w:t xml:space="preserve"> </w:t>
      </w:r>
      <w:r>
        <w:t xml:space="preserve">“Gene”</w:t>
      </w:r>
      <w:r>
        <w:t xml:space="preserve">. When you see</w:t>
      </w:r>
      <w:r>
        <w:t xml:space="preserve"> </w:t>
      </w:r>
      <w:r>
        <w:t xml:space="preserve">“G”</w:t>
      </w:r>
      <w:r>
        <w:t xml:space="preserve"> </w:t>
      </w:r>
      <w:r>
        <w:t xml:space="preserve">in the ID name, you know you are working with a gene. There are also codes for transcripts (</w:t>
      </w:r>
      <w:r>
        <w:t xml:space="preserve">“T”</w:t>
      </w:r>
      <w:r>
        <w:t xml:space="preserve">), exons (</w:t>
      </w:r>
      <w:r>
        <w:t xml:space="preserve">“E”</w:t>
      </w:r>
      <w:r>
        <w:t xml:space="preserve">), and proteins (</w:t>
      </w:r>
      <w:r>
        <w:t xml:space="preserve">“P”</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“Genes”</w:t>
      </w:r>
      <w:r>
        <w:t xml:space="preserve"> </w:t>
      </w:r>
      <w:r>
        <w:t xml:space="preserve">button.</w:t>
      </w:r>
    </w:p>
    <w:p>
      <w:pPr>
        <w:pStyle w:val="BodyText"/>
      </w:pPr>
      <w:r>
        <w:t xml:space="preserve">Next, type the gene ID into the</w:t>
      </w:r>
      <w:r>
        <w:t xml:space="preserve"> </w:t>
      </w:r>
      <w:r>
        <w:t xml:space="preserve">“Search”</w:t>
      </w:r>
      <w:r>
        <w:t xml:space="preserve"> </w:t>
      </w:r>
      <w:r>
        <w:t xml:space="preserve">bar up top. We’ll look up</w:t>
      </w:r>
      <w:r>
        <w:t xml:space="preserve"> </w:t>
      </w:r>
      <w:r>
        <w:t xml:space="preserve">“ENSMUSG00000079516”</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“pseudogenes”</w:t>
            </w:r>
            <w:r>
              <w:t xml:space="preserve">,</w:t>
            </w:r>
            <w:r>
              <w:t xml:space="preserve"> </w:t>
            </w:r>
            <w:r>
              <w:t xml:space="preserve">“putative genes”</w:t>
            </w:r>
            <w:r>
              <w:t xml:space="preserve">, and</w:t>
            </w:r>
            <w:r>
              <w:t xml:space="preserve"> </w:t>
            </w:r>
            <w:r>
              <w:t xml:space="preserve">“lncRNA”</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“long non-coding RNA”</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“gene ontology”</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2025-08-21T20:15:41Z</dcterms:created>
  <dcterms:modified xsi:type="dcterms:W3CDTF">2025-08-21T20:15:41Z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