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6"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4"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Installing package into '/usr/local/lib/R/site-library'</w:t>
      </w:r>
      <w:r>
        <w:br/>
      </w:r>
      <w:r>
        <w:rPr>
          <w:rStyle w:val="VerbatimChar"/>
        </w:rPr>
        <w:t xml:space="preserve">(as 'lib' is unspecified)</w:t>
      </w:r>
    </w:p>
    <w:p>
      <w:pPr>
        <w:pStyle w:val="FirstParagraph"/>
      </w:pPr>
      <w:r>
        <w:t xml:space="preserve">Next, we will load the package so it’s ready to use: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readr</w:t>
            </w:r>
            <w:r>
              <w:t xml:space="preserve">”</w:t>
            </w:r>
            <w:r>
              <w:t xml:space="preserve"> </w:t>
            </w:r>
            <w:r>
              <w:t xml:space="preserve">package is helpful for loading data, and the</w:t>
            </w:r>
            <w:r>
              <w:t xml:space="preserve"> </w:t>
            </w:r>
            <w:r>
              <w:t xml:space="preserve">“</w:t>
            </w:r>
            <w:r>
              <w:t xml:space="preserve">dplyr</w:t>
            </w:r>
            <w:r>
              <w:t xml:space="preserve">”</w:t>
            </w:r>
            <w:r>
              <w:t xml:space="preserve"> </w:t>
            </w:r>
            <w:r>
              <w:t xml:space="preserve">package that you loaded is useful wrangling and exploring data.</w:t>
            </w:r>
          </w:p>
        </w:tc>
      </w:tr>
    </w:tbl>
    <w:bookmarkEnd w:id="34"/>
    <w:bookmarkStart w:id="35"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5"/>
    <w:bookmarkEnd w:id="36"/>
    <w:bookmarkStart w:id="48"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numPr>
                <w:ilvl w:val="0"/>
                <w:numId w:val="1002"/>
              </w:numPr>
            </w:pPr>
            <w:r>
              <w:rPr>
                <w:b/>
                <w:bCs/>
              </w:rPr>
              <w:t xml:space="preserve">pvalue</w:t>
            </w:r>
            <w:r>
              <w:t xml:space="preserve">: the p-value for the log2FoldChange.</w:t>
            </w:r>
          </w:p>
          <w:p>
            <w:pPr>
              <w:numPr>
                <w:ilvl w:val="0"/>
                <w:numId w:val="1002"/>
              </w:numPr>
            </w:pPr>
            <w:r>
              <w:rPr>
                <w:b/>
                <w:bCs/>
              </w:rPr>
              <w:t xml:space="preserve">padj</w:t>
            </w:r>
            <w:r>
              <w:t xml:space="preserve">: the p-value, adjusted for multiple testing.</w:t>
            </w:r>
          </w:p>
        </w:tc>
      </w:tr>
    </w:tbl>
    <w:p>
      <w:pPr>
        <w:pStyle w:val="FirstParagraph"/>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39">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0"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0"/>
    <w:bookmarkStart w:id="47"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1">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2">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t xml:space="preserve">After you type the gene ID into the Search bar and hit enter, you should see a new page with basic information about the gene. Click on the gene symbol (in this example, Reg3a) to get more detailed information.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tip.png" id="4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47"/>
    <w:bookmarkEnd w:id="48"/>
    <w:bookmarkStart w:id="53"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49"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49"/>
    <w:bookmarkStart w:id="52"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39"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1" Target="https://www.informatics.jax.org" TargetMode="External" /><Relationship Type="http://schemas.openxmlformats.org/officeDocument/2006/relationships/hyperlink" Id="rId42"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2025-07-17T18:54:13Z</dcterms:created>
  <dcterms:modified xsi:type="dcterms:W3CDTF">2025-07-17T18:54:13Z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