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68.png" ContentType="image/png"/>
  <Override PartName="/word/media/rId59.png" ContentType="image/png"/>
  <Override PartName="/word/media/rId29.png" ContentType="image/png"/>
  <Override PartName="/word/media/rId26.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t xml:space="preserve">“</w:t>
      </w:r>
      <w:r>
        <w:t xml:space="preserve">pipe</w:t>
      </w:r>
      <w:r>
        <w:t xml:space="preserv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t xml:space="preserve">“</w:t>
      </w:r>
      <w:r>
        <w:t xml:space="preserve">pipe</w:t>
      </w:r>
      <w:r>
        <w:t xml:space="preserv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 pipe 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 pipe, we can see that it’s an enzyme involved in development, gene expression, protein metabolism. We also see that the pipe 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In the case of pipe, it appears to code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(scarlet, plum, mustard, and white),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47" w:name="part-2"/>
    <w:p>
      <w:pPr>
        <w:pStyle w:val="Heading2"/>
      </w:pPr>
      <w:r>
        <w:t xml:space="preserve">Part 2</w:t>
      </w:r>
    </w:p>
    <w:p>
      <w:pPr>
        <w:pStyle w:val="FirstParagraph"/>
      </w:pPr>
      <w:r>
        <w:t xml:space="preserve">Next, let’s explore additional genomic databases beyond FlyBase to characterize the homologs to the four</w:t>
      </w:r>
      <w:r>
        <w:t xml:space="preserve"> </w:t>
      </w:r>
      <w:r>
        <w:rPr>
          <w:i/>
          <w:iCs/>
        </w:rPr>
        <w:t xml:space="preserve">Drosophila</w:t>
      </w:r>
      <w:r>
        <w:t xml:space="preserve"> </w:t>
      </w:r>
      <w:r>
        <w:t xml:space="preserve">genes.</w:t>
      </w:r>
    </w:p>
    <w:p>
      <w:pPr>
        <w:pStyle w:val="BodyText"/>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First, we need to find out what the name of the homologous genes are. The gene IDs and common names differ between species. If we keep scrolling down the page on the pipe gene in FlyBase, we can find what those homologous genes are called in our species of interest.</w:t>
      </w:r>
    </w:p>
    <w:p>
      <w:pPr>
        <w:pStyle w:val="BodyText"/>
      </w:pPr>
      <w:r>
        <w:t xml:space="preserve">It turns out that the human gene most likely to be a homolog of pipe is called UST.</w:t>
      </w:r>
    </w:p>
    <w:p>
      <w:pPr>
        <w:pStyle w:val="BodyText"/>
      </w:pPr>
      <w:r>
        <w:drawing>
          <wp:inline>
            <wp:extent cx="4800600" cy="2700337"/>
            <wp:effectExtent b="0" l="0" r="0" t="0"/>
            <wp:docPr descr="" title="" id="37" name="Picture"/>
            <a:graphic>
              <a:graphicData uri="http://schemas.openxmlformats.org/drawingml/2006/picture">
                <pic:pic>
                  <pic:nvPicPr>
                    <pic:cNvPr descr="public_databases_student_guide_files/figure-docx//1fy3FwkSLETnRUdf8huddq2n4qcb6eOyzwVg05dbudII_g357ffc10808_0_30.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 Ust. In the zebrafish (</w:t>
      </w:r>
      <w:r>
        <w:rPr>
          <w:i/>
          <w:iCs/>
        </w:rPr>
        <w:t xml:space="preserve">Danio rerio</w:t>
      </w:r>
      <w:r>
        <w:t xml:space="preserve">), it is probably usta.</w:t>
      </w:r>
    </w:p>
    <w:p>
      <w:pPr>
        <w:pStyle w:val="BodyText"/>
      </w:pPr>
      <w:r>
        <w:drawing>
          <wp:inline>
            <wp:extent cx="4800600" cy="2700337"/>
            <wp:effectExtent b="0" l="0" r="0" t="0"/>
            <wp:docPr descr="" title="" id="40" name="Picture"/>
            <a:graphic>
              <a:graphicData uri="http://schemas.openxmlformats.org/drawingml/2006/picture">
                <pic:pic>
                  <pic:nvPicPr>
                    <pic:cNvPr descr="public_databases_student_guide_files/figure-docx//1fy3FwkSLETnRUdf8huddq2n4qcb6eOyzwVg05dbudII_g357ffc10808_0_6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2">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p>
      <w:pPr>
        <w:pStyle w:val="BodyText"/>
      </w:pPr>
      <w:r>
        <w:t xml:space="preserve">Open the MGI database and search for the name of the mouse homolog, Ust.</w:t>
      </w:r>
    </w:p>
    <w:p>
      <w:pPr>
        <w:pStyle w:val="BodyText"/>
      </w:pPr>
      <w:r>
        <w:t xml:space="preserve">TODO: add MGI slides</w:t>
      </w:r>
    </w:p>
    <w:p>
      <w:pPr>
        <w:pStyle w:val="BodyText"/>
      </w:pPr>
      <w:r>
        <w:t xml:space="preserve">In order to look up information about the zebrafish homolog, we need to switch databases again.</w:t>
      </w:r>
    </w:p>
    <w:p>
      <w:pPr>
        <w:pStyle w:val="BodyText"/>
      </w:pPr>
      <w:r>
        <w:t xml:space="preserve">The</w:t>
      </w:r>
      <w:r>
        <w:t xml:space="preserve"> </w:t>
      </w:r>
      <w:hyperlink r:id="rId43">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p>
      <w:pPr>
        <w:pStyle w:val="BodyText"/>
      </w:pPr>
      <w:r>
        <w:t xml:space="preserve">Open ZFIN and search for the zebrafish homolog, usta.</w:t>
      </w:r>
    </w:p>
    <w:p>
      <w:pPr>
        <w:pStyle w:val="BodyText"/>
      </w:pPr>
      <w:r>
        <w:t xml:space="preserve">TODO: add ZFIN slides</w:t>
      </w:r>
    </w:p>
    <w:p>
      <w:pPr>
        <w:pStyle w:val="BodyText"/>
      </w:pPr>
      <w:r>
        <w:t xml:space="preserve">Finally, we can turn to the human homolog, UST. There are several databases with information about human genes.</w:t>
      </w:r>
      <w:r>
        <w:t xml:space="preserve"> </w:t>
      </w:r>
      <w:hyperlink r:id="rId44">
        <w:r>
          <w:rPr>
            <w:rStyle w:val="Hyperlink"/>
            <w:i/>
            <w:iCs/>
          </w:rPr>
          <w:t xml:space="preserve">NCBI</w:t>
        </w:r>
      </w:hyperlink>
      <w:r>
        <w:t xml:space="preserve"> </w:t>
      </w:r>
      <w:r>
        <w:t xml:space="preserve">maintains a database of genetic, genomic, and expression data for a variety of taxa, including humans. This database is maintained and funded through the National Library of Medicine at the NIH.</w:t>
      </w:r>
    </w:p>
    <w:p>
      <w:pPr>
        <w:pStyle w:val="BodyText"/>
      </w:pPr>
      <w:r>
        <w:t xml:space="preserve">Open the NCBI gene page and search for the human homolog UST.</w:t>
      </w:r>
    </w:p>
    <w:p>
      <w:pPr>
        <w:pStyle w:val="BodyText"/>
      </w:pPr>
      <w:r>
        <w:t xml:space="preserve">TODO: add NCBI slides</w:t>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(scarlet, plum, mustard, and white), find the following information</w:t>
            </w:r>
            <w:r>
              <w:t xml:space="preserve"> </w:t>
            </w:r>
            <w:r>
              <w:rPr>
                <w:i/>
                <w:iCs/>
              </w:rPr>
              <w:t xml:space="preserve">for the 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Compact"/>
              <w:numPr>
                <w:ilvl w:val="0"/>
                <w:numId w:val="1002"/>
              </w:numPr>
            </w:pPr>
            <w:r>
              <w:t xml:space="preserve">the biological processes the gene product is involved in</w:t>
            </w:r>
          </w:p>
          <w:p>
            <w:pPr>
              <w:pStyle w:val="Compact"/>
              <w:numPr>
                <w:ilvl w:val="0"/>
                <w:numId w:val="1002"/>
              </w:numPr>
            </w:pPr>
            <w:r>
              <w:t xml:space="preserve">where in the cell the gene product can be found</w:t>
            </w:r>
          </w:p>
          <w:p>
            <w:pPr>
              <w:pStyle w:val="FirstParagraph"/>
            </w:pPr>
            <w:pPr>
              <w:spacing w:after="16"/>
            </w:pPr>
            <w:r>
              <w:t xml:space="preserve">Does this information differ among the homologs? For example, do the homologs of scarlet do the same things as scarlet?</w:t>
            </w:r>
          </w:p>
        </w:tc>
      </w:tr>
    </w:tbl>
    <w:bookmarkEnd w:id="47"/>
    <w:bookmarkStart w:id="73"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48">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49">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48">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 pipe is UST. Let’s look this gene up and see what (if any) diseases it might be associated with.</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23.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 UST, there’s only one. Click on it.</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f41619954_0_36.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 UST, there’s not much there. In fact, there doesn’t seem to be any subsection focusing on disease state or phenotype.</w:t>
      </w:r>
    </w:p>
    <w:p>
      <w:pPr>
        <w:pStyle w:val="BodyText"/>
      </w:pPr>
      <w:r>
        <w:drawing>
          <wp:inline>
            <wp:extent cx="4800600" cy="2700337"/>
            <wp:effectExtent b="0" l="0" r="0" t="0"/>
            <wp:docPr descr="" title="" id="57" name="Picture"/>
            <a:graphic>
              <a:graphicData uri="http://schemas.openxmlformats.org/drawingml/2006/picture">
                <pic:pic>
                  <pic:nvPicPr>
                    <pic:cNvPr descr="public_databases_student_guide_files/figure-docx//1fy3FwkSLETnRUdf8huddq2n4qcb6eOyzwVg05dbudII_g35f41619954_0_51.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 BRCA1, which is associated with an increased risk of breast and ovarian cancer. When we look at the top OMIM hit for BRCA1,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 UST, we can conclude that UST doesn’t appear to cause any human diseases that we know of at this time.</w:t>
      </w:r>
    </w:p>
    <w:p>
      <w:pPr>
        <w:pStyle w:val="BodyText"/>
      </w:pPr>
      <w:r>
        <w:drawing>
          <wp:inline>
            <wp:extent cx="4800600" cy="2700337"/>
            <wp:effectExtent b="0" l="0" r="0" t="0"/>
            <wp:docPr descr="" title="" id="60" name="Picture"/>
            <a:graphic>
              <a:graphicData uri="http://schemas.openxmlformats.org/drawingml/2006/picture">
                <pic:pic>
                  <pic:nvPicPr>
                    <pic:cNvPr descr="public_databases_student_guide_files/figure-docx//1fy3FwkSLETnRUdf8huddq2n4qcb6eOyzwVg05dbudII_g3367b17b963_0_3.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49">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 UST 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63" name="Picture"/>
            <a:graphic>
              <a:graphicData uri="http://schemas.openxmlformats.org/drawingml/2006/picture">
                <pic:pic>
                  <pic:nvPicPr>
                    <pic:cNvPr descr="public_databases_student_guide_files/figure-docx//1fy3FwkSLETnRUdf8huddq2n4qcb6eOyzwVg05dbudII_g35f41619954_0_55.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66" name="Picture"/>
            <a:graphic>
              <a:graphicData uri="http://schemas.openxmlformats.org/drawingml/2006/picture">
                <pic:pic>
                  <pic:nvPicPr>
                    <pic:cNvPr descr="public_databases_student_guide_files/figure-docx//1fy3FwkSLETnRUdf8huddq2n4qcb6eOyzwVg05dbudII_g35f41619954_0_59.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 UST is not found in any of the MalaCards disease entry.</w:t>
      </w:r>
    </w:p>
    <w:p>
      <w:pPr>
        <w:pStyle w:val="BodyText"/>
      </w:pPr>
      <w:r>
        <w:t xml:space="preserve">Let’s search MalaCards with the term BRCA1 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 BRCA1 shows up in the overview, as well as in the section about associated genes and the alternate name for the disease.</w:t>
      </w:r>
    </w:p>
    <w:p>
      <w:pPr>
        <w:pStyle w:val="BodyText"/>
      </w:pPr>
      <w:r>
        <w:drawing>
          <wp:inline>
            <wp:extent cx="4800600" cy="2700337"/>
            <wp:effectExtent b="0" l="0" r="0" t="0"/>
            <wp:docPr descr="" title="" id="69" name="Picture"/>
            <a:graphic>
              <a:graphicData uri="http://schemas.openxmlformats.org/drawingml/2006/picture">
                <pic:pic>
                  <pic:nvPicPr>
                    <pic:cNvPr descr="public_databases_student_guide_files/figure-docx//1fy3FwkSLETnRUdf8huddq2n4qcb6eOyzwVg05dbudII_g3367b17b963_0_13.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(is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 scarlet, plum, mustard, and white associated with?</w:t>
            </w:r>
          </w:p>
        </w:tc>
      </w:tr>
    </w:tbl>
    <w:bookmarkEnd w:id="73"/>
    <w:bookmarkStart w:id="76"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note.png" id="7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2025-05-31T02:07:13Z</dcterms:created>
  <dcterms:modified xsi:type="dcterms:W3CDTF">2025-05-31T02:07:13Z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