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with</w:t>
      </w:r>
      <w:r>
        <w:rPr>
          <w:b/>
          <w:bCs/>
        </w:rPr>
        <w:t xml:space="preserve"> </w:t>
      </w:r>
      <w:r>
        <w:rPr>
          <w:b/>
          <w:bCs/>
        </w:rPr>
        <w:t xml:space="preserve">RNA-seq</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Each section introduces an RNA-seq dataset from a published research paper. The datasets have been formatted for student use. All the formatting and processing of the raw data has been done, so students can focus on hypothesis testing.</w:t>
      </w:r>
    </w:p>
    <w:p>
      <w:pPr>
        <w:pStyle w:val="BodyText"/>
      </w:pPr>
      <w:r>
        <w:t xml:space="preserve">This module is a companion and expansion to the C-MOOR RNA-seq miniCURE. It can be used as an independent activity or as part of a broader miniCURE experience. The original C-MOOR RNA-seq miniCURE explores gene expression in a</w:t>
      </w:r>
      <w:r>
        <w:t xml:space="preserve"> </w:t>
      </w:r>
      <w:r>
        <w:rPr>
          <w:i/>
          <w:iCs/>
        </w:rPr>
        <w:t xml:space="preserve">Drosophila</w:t>
      </w:r>
      <w:r>
        <w:t xml:space="preserve"> </w:t>
      </w:r>
      <w:r>
        <w:t xml:space="preserve">midgut dataset. This module adds additional RNA-seq datasets that students can use, either as the primary activity or as an independent research project.</w:t>
      </w:r>
    </w:p>
    <w:p>
      <w:pPr>
        <w:pStyle w:val="BodyText"/>
      </w:pPr>
      <w:r>
        <w:t xml:space="preserve">TODO: Add flowchart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p>
    <w:bookmarkEnd w:id="22"/>
    <w:bookmarkStart w:id="23" w:name="learning-objectives"/>
    <w:p>
      <w:pPr>
        <w:pStyle w:val="Heading2"/>
      </w:pPr>
      <w:r>
        <w:t xml:space="preserve">Learning Objectives</w:t>
      </w:r>
    </w:p>
    <w:bookmarkEnd w:id="23"/>
    <w:bookmarkStart w:id="24" w:name="materials-and-setup"/>
    <w:p>
      <w:pPr>
        <w:pStyle w:val="Heading2"/>
      </w:pPr>
      <w:r>
        <w:t xml:space="preserve">Materials and Setup</w:t>
      </w:r>
    </w:p>
    <w:bookmarkEnd w:id="24"/>
    <w:bookmarkStart w:id="25" w:name="scientific-topics"/>
    <w:p>
      <w:pPr>
        <w:pStyle w:val="Heading2"/>
      </w:pPr>
      <w:r>
        <w:t xml:space="preserve">Scientific Topics</w:t>
      </w:r>
    </w:p>
    <w:bookmarkEnd w:id="25"/>
    <w:bookmarkStart w:id="26" w:name="outline"/>
    <w:p>
      <w:pPr>
        <w:pStyle w:val="Heading2"/>
      </w:pPr>
      <w:r>
        <w:t xml:space="preserve">Outline</w:t>
      </w:r>
    </w:p>
    <w:bookmarkEnd w:id="26"/>
    <w:bookmarkStart w:id="47" w:name="gut-brain-axis-autism-spectrum-disorder"/>
    <w:p>
      <w:pPr>
        <w:pStyle w:val="Heading1"/>
      </w:pPr>
      <w:r>
        <w:t xml:space="preserve">Gut-brain axis: Autism Spectrum Disorder</w:t>
      </w:r>
    </w:p>
    <w:p>
      <w:pPr>
        <w:pStyle w:val="FirstParagraph"/>
      </w:pPr>
      <w:r>
        <w:t xml:space="preserve">This dataset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28" w:name="the-original-study"/>
    <w:p>
      <w:pPr>
        <w:pStyle w:val="Heading2"/>
      </w:pPr>
      <w:r>
        <w:t xml:space="preserve">The original study</w:t>
      </w:r>
    </w:p>
    <w:p>
      <w:pPr>
        <w:pStyle w:val="FirstParagraph"/>
      </w:pPr>
      <w:r>
        <w:t xml:space="preserve">The original study,</w:t>
      </w:r>
      <w:r>
        <w:t xml:space="preserve"> </w:t>
      </w:r>
      <w:r>
        <w:rPr>
          <w:i/>
          <w:iCs/>
        </w:rPr>
        <w:t xml:space="preserve">Gut Microbiota from Human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p>
      <w:pPr>
        <w:pStyle w:val="BodyText"/>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p>
      <w:pPr>
        <w:pStyle w:val="BodyText"/>
      </w:pPr>
      <w:r>
        <w:t xml:space="preserve">You can read the original research paper</w:t>
      </w:r>
      <w:r>
        <w:t xml:space="preserve"> </w:t>
      </w:r>
      <w:hyperlink r:id="rId27">
        <w:r>
          <w:rPr>
            <w:rStyle w:val="Hyperlink"/>
          </w:rPr>
          <w:t xml:space="preserve">here</w:t>
        </w:r>
      </w:hyperlink>
      <w:r>
        <w:t xml:space="preserve">.</w:t>
      </w:r>
    </w:p>
    <w:bookmarkEnd w:id="28"/>
    <w:bookmarkStart w:id="29" w:name="what-comparisons-can-students-make"/>
    <w:p>
      <w:pPr>
        <w:pStyle w:val="Heading2"/>
      </w:pPr>
      <w:r>
        <w:t xml:space="preserve">What comparisons can students make?</w:t>
      </w:r>
    </w:p>
    <w:p>
      <w:pPr>
        <w:pStyle w:val="FirstParagraph"/>
      </w:pPr>
      <w:r>
        <w:t xml:space="preserve">In this dataset, students have the option to look at gene expression in control vs ASD mice, as well as gene expression in both striatum and prefrontal cortex. All the mice were male and sacrificed at the same age (45 days).</w:t>
      </w:r>
    </w:p>
    <w:p>
      <w:pPr>
        <w:pStyle w:val="BodyText"/>
      </w:pPr>
      <w:r>
        <w:t xml:space="preserve">Additionally, students can look at gene expression in striatum vs prefrontal cortex in only ASD mice or only control mice. Likewise, students also have the option of looking at gene expression in ASD and control mice, focusing only on striatum or only on prefrontal cortex.</w:t>
      </w:r>
    </w:p>
    <w:bookmarkEnd w:id="29"/>
    <w:bookmarkStart w:id="35" w:name="what-does-the-student-guide-include"/>
    <w:p>
      <w:pPr>
        <w:pStyle w:val="Heading2"/>
      </w:pPr>
      <w:r>
        <w:t xml:space="preserve">What does the student guide include?</w:t>
      </w:r>
    </w:p>
    <w:p>
      <w:pPr>
        <w:pStyle w:val="FirstParagraph"/>
      </w:pPr>
      <w:r>
        <w:t xml:space="preserve">The student guide includes some background information that may help your students understand the kinds of questions they may want to ask with this dataset.</w:t>
      </w:r>
    </w:p>
    <w:bookmarkStart w:id="31" w:name="study-overview-and-definitions"/>
    <w:p>
      <w:pPr>
        <w:pStyle w:val="Heading3"/>
      </w:pPr>
      <w:r>
        <w:t xml:space="preserve">Study overview and definitions</w:t>
      </w:r>
    </w:p>
    <w:p>
      <w:pPr>
        <w:pStyle w:val="FirstParagraph"/>
      </w:pPr>
      <w:r>
        <w:t xml:space="preserve">In addition to the basic overview of the study above, the student guide also includes definitions of Autism Spectrum Disorder and explanations of the parts of the brain sampled in this study. It also includes a link to the</w:t>
      </w:r>
      <w:r>
        <w:t xml:space="preserve"> </w:t>
      </w:r>
      <w:hyperlink r:id="rId30">
        <w:r>
          <w:rPr>
            <w:rStyle w:val="Hyperlink"/>
          </w:rPr>
          <w:t xml:space="preserve">story of Phineas Gage</w:t>
        </w:r>
      </w:hyperlink>
      <w:r>
        <w:t xml:space="preserve">, a railroad worker who survived an iron rod through his forehead, and whose injury led to breakthroughs in our understanding of neuroanatomy.</w:t>
      </w:r>
    </w:p>
    <w:bookmarkEnd w:id="31"/>
    <w:bookmarkStart w:id="32" w:name="the-mouse-as-a-model-organism"/>
    <w:p>
      <w:pPr>
        <w:pStyle w:val="Heading3"/>
      </w:pPr>
      <w:r>
        <w:t xml:space="preserve">The mouse as a model organism</w:t>
      </w:r>
    </w:p>
    <w:p>
      <w:pPr>
        <w:pStyle w:val="FirstParagraph"/>
      </w:pPr>
      <w:r>
        <w:t xml:space="preserve">Students may not be familiar with why the mouse is used as a model organism. This section provides a very general explanation of the role of mice in laboratory research, as well as why mice can be used as models for human disease.</w:t>
      </w:r>
    </w:p>
    <w:bookmarkEnd w:id="32"/>
    <w:bookmarkStart w:id="34" w:name="learning-about-mouse-genes"/>
    <w:p>
      <w:pPr>
        <w:pStyle w:val="Heading3"/>
      </w:pPr>
      <w:r>
        <w:t xml:space="preserve">Learning about mouse genes</w:t>
      </w:r>
    </w:p>
    <w:p>
      <w:pPr>
        <w:pStyle w:val="FirstParagraph"/>
      </w:pPr>
      <w:r>
        <w:t xml:space="preserve">This section of the student guide includes information on how to navigate the</w:t>
      </w:r>
      <w:r>
        <w:t xml:space="preserve"> </w:t>
      </w:r>
      <w:hyperlink r:id="rId33">
        <w:r>
          <w:rPr>
            <w:rStyle w:val="Hyperlink"/>
          </w:rPr>
          <w:t xml:space="preserve">Mouse Genome Informatics</w:t>
        </w:r>
      </w:hyperlink>
      <w:r>
        <w:t xml:space="preserve"> </w:t>
      </w:r>
      <w:r>
        <w:t xml:space="preserve">database maintained by The Jackson Laboratory. It also has a brief description on interpreting a mouse gene ID code and non-genes that have associated IDs.</w:t>
      </w:r>
    </w:p>
    <w:bookmarkEnd w:id="34"/>
    <w:bookmarkEnd w:id="35"/>
    <w:bookmarkStart w:id="46" w:name="downloads"/>
    <w:p>
      <w:pPr>
        <w:pStyle w:val="Heading2"/>
      </w:pPr>
      <w:r>
        <w:t xml:space="preserve">Downloads</w:t>
      </w:r>
    </w:p>
    <w:bookmarkStart w:id="38" w:name="student-guides"/>
    <w:p>
      <w:pPr>
        <w:pStyle w:val="Heading3"/>
      </w:pPr>
      <w:r>
        <w:t xml:space="preserve">Student Guides</w:t>
      </w:r>
    </w:p>
    <w:p>
      <w:pPr>
        <w:pStyle w:val="FirstParagraph"/>
      </w:pPr>
      <w:r>
        <w:t xml:space="preserve">A student guide (with step-by-step instructions) has been created for this activity. The student guide can be accessed as either a webpage or as a downloadable pdf. The Rmd file should be downloaded. Once it is downloaded, students can open Rmd file with RStudio. This Rmd file can also be used in any cloud-based R environment, such as AnVIL or PositCloud.</w:t>
      </w:r>
    </w:p>
    <w:p>
      <w:pPr>
        <w:pStyle w:val="BodyText"/>
      </w:pPr>
      <w:r>
        <w:t xml:space="preserve">You can find the student guide for working through this activity and dataset</w:t>
      </w:r>
      <w:r>
        <w:t xml:space="preserve"> </w:t>
      </w:r>
      <w:hyperlink r:id="rId36">
        <w:r>
          <w:rPr>
            <w:rStyle w:val="Hyperlink"/>
          </w:rPr>
          <w:t xml:space="preserve">here</w:t>
        </w:r>
      </w:hyperlink>
    </w:p>
    <w:p>
      <w:pPr>
        <w:pStyle w:val="BodyText"/>
      </w:pPr>
      <w:r>
        <w:t xml:space="preserve">A separate version of the student guide has been provided if you are using this module as an extension of the C-MOOR miniCURE. In this version, students are given examples of the coding tasks they did in the miniCURE activities, but have been provided empty code blocks for writing their own code. This modified guise is</w:t>
      </w:r>
      <w:r>
        <w:t xml:space="preserve"> </w:t>
      </w:r>
      <w:hyperlink r:id="rId37">
        <w:r>
          <w:rPr>
            <w:rStyle w:val="Hyperlink"/>
          </w:rPr>
          <w:t xml:space="preserve">here</w:t>
        </w:r>
      </w:hyperlink>
    </w:p>
    <w:bookmarkEnd w:id="38"/>
    <w:bookmarkStart w:id="45" w:name="datasets"/>
    <w:p>
      <w:pPr>
        <w:pStyle w:val="Heading3"/>
      </w:pPr>
      <w:r>
        <w:t xml:space="preserve">Datasets</w:t>
      </w:r>
    </w:p>
    <w:p>
      <w:pPr>
        <w:pStyle w:val="FirstParagraph"/>
      </w:pPr>
      <w:r>
        <w:rPr>
          <w:b/>
          <w:bCs/>
        </w:rPr>
        <w:t xml:space="preserve">Comparing gene expression between ASD and control mice</w:t>
      </w:r>
    </w:p>
    <w:p>
      <w:pPr>
        <w:pStyle w:val="BodyText"/>
      </w:pPr>
      <w:r>
        <w:t xml:space="preserve">Both brain regions:</w:t>
      </w:r>
      <w:r>
        <w:t xml:space="preserve"> </w:t>
      </w:r>
      <w:hyperlink r:id="rId39">
        <w:r>
          <w:rPr>
            <w:rStyle w:val="Hyperlink"/>
          </w:rPr>
          <w:t xml:space="preserve">https://genomicseducation.org/data/mouse_autism_deseq_autismVcontrol.csv</w:t>
        </w:r>
      </w:hyperlink>
    </w:p>
    <w:p>
      <w:pPr>
        <w:pStyle w:val="BodyText"/>
      </w:pPr>
      <w:r>
        <w:t xml:space="preserve">Prefrontal cortex only:</w:t>
      </w:r>
      <w:r>
        <w:t xml:space="preserve"> </w:t>
      </w:r>
      <w:hyperlink r:id="rId40">
        <w:r>
          <w:rPr>
            <w:rStyle w:val="Hyperlink"/>
          </w:rPr>
          <w:t xml:space="preserve">https://genomicseducation.org/data/mouse_autism_deseq_autismVcontrol_in_prefrontalcortex.csv</w:t>
        </w:r>
      </w:hyperlink>
    </w:p>
    <w:p>
      <w:pPr>
        <w:pStyle w:val="BodyText"/>
      </w:pPr>
      <w:r>
        <w:t xml:space="preserve">Striatum only:</w:t>
      </w:r>
      <w:r>
        <w:t xml:space="preserve"> </w:t>
      </w:r>
      <w:hyperlink r:id="rId41">
        <w:r>
          <w:rPr>
            <w:rStyle w:val="Hyperlink"/>
          </w:rPr>
          <w:t xml:space="preserve">https://genomicseducation.org/data/mouse_autism_deseq_autismVcontrol_in_striatum.csv</w:t>
        </w:r>
      </w:hyperlink>
    </w:p>
    <w:p>
      <w:pPr>
        <w:pStyle w:val="BodyText"/>
      </w:pPr>
      <w:r>
        <w:rPr>
          <w:b/>
          <w:bCs/>
        </w:rPr>
        <w:t xml:space="preserve">Comparing gene expression between prefrontal cortex and striatum</w:t>
      </w:r>
    </w:p>
    <w:p>
      <w:pPr>
        <w:pStyle w:val="BodyText"/>
      </w:pPr>
      <w:r>
        <w:t xml:space="preserve">All mice:</w:t>
      </w:r>
      <w:r>
        <w:t xml:space="preserve"> </w:t>
      </w:r>
      <w:hyperlink r:id="rId42">
        <w:r>
          <w:rPr>
            <w:rStyle w:val="Hyperlink"/>
          </w:rPr>
          <w:t xml:space="preserve">https://genomicseducation.org/data/mouse_autism_deseq_tissuetype.csv</w:t>
        </w:r>
      </w:hyperlink>
    </w:p>
    <w:p>
      <w:pPr>
        <w:pStyle w:val="BodyText"/>
      </w:pPr>
      <w:r>
        <w:t xml:space="preserve">Only ASD mice:</w:t>
      </w:r>
      <w:r>
        <w:t xml:space="preserve"> </w:t>
      </w:r>
      <w:hyperlink r:id="rId43">
        <w:r>
          <w:rPr>
            <w:rStyle w:val="Hyperlink"/>
          </w:rPr>
          <w:t xml:space="preserve">https://genomicseducation.org/data/mouse_autism_deseq_tissuetype_in_ASDmice.csv</w:t>
        </w:r>
      </w:hyperlink>
    </w:p>
    <w:p>
      <w:pPr>
        <w:pStyle w:val="BodyText"/>
      </w:pPr>
      <w:r>
        <w:t xml:space="preserve">Only control mice:</w:t>
      </w:r>
      <w:r>
        <w:t xml:space="preserve"> </w:t>
      </w:r>
      <w:hyperlink r:id="rId44">
        <w:r>
          <w:rPr>
            <w:rStyle w:val="Hyperlink"/>
          </w:rPr>
          <w:t xml:space="preserve">https://genomicseducation.org/data/mouse_autism_deseq_tissuetype_in_controlmice.csv</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_rels/footnotes.xml.rels><?xml version="1.0" encoding="UTF-8"?><Relationships xmlns="http://schemas.openxmlformats.org/package/2006/relationships"><Relationship Type="http://schemas.openxmlformats.org/officeDocument/2006/relationships/hyperlink" Id="rId39" Target="https://genomicseducation.org/data/mouse_autism_deseq_autismVcontrol.csv" TargetMode="External" /><Relationship Type="http://schemas.openxmlformats.org/officeDocument/2006/relationships/hyperlink" Id="rId40" Target="https://genomicseducation.org/data/mouse_autism_deseq_autismVcontrol_in_prefrontalcortex.csv" TargetMode="External" /><Relationship Type="http://schemas.openxmlformats.org/officeDocument/2006/relationships/hyperlink" Id="rId41" Target="https://genomicseducation.org/data/mouse_autism_deseq_autismVcontrol_in_striatum.csv" TargetMode="External" /><Relationship Type="http://schemas.openxmlformats.org/officeDocument/2006/relationships/hyperlink" Id="rId42" Target="https://genomicseducation.org/data/mouse_autism_deseq_tissuetype.csv" TargetMode="External" /><Relationship Type="http://schemas.openxmlformats.org/officeDocument/2006/relationships/hyperlink" Id="rId43" Target="https://genomicseducation.org/data/mouse_autism_deseq_tissuetype_in_ASDmice.csv" TargetMode="External" /><Relationship Type="http://schemas.openxmlformats.org/officeDocument/2006/relationships/hyperlink" Id="rId44" Target="https://genomicseducation.org/data/mouse_autism_deseq_tissuetype_in_controlmice.csv" TargetMode="External" /><Relationship Type="http://schemas.openxmlformats.org/officeDocument/2006/relationships/hyperlink" Id="rId33" Target="https://informatics.jax.org/" TargetMode="External" /><Relationship Type="http://schemas.openxmlformats.org/officeDocument/2006/relationships/hyperlink" Id="rId30" Target="https://pmc.ncbi.nlm.nih.gov/articles/PMC1114479/" TargetMode="External" /><Rela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37" Target="rnaseq_de_independent_project-guide.qmd" TargetMode="External" /><Relationship Type="http://schemas.openxmlformats.org/officeDocument/2006/relationships/hyperlink" Id="rId36" Target="rnaseq_de_student-guid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with RNA-seq</dc:title>
  <dc:creator/>
  <cp:keywords/>
  <dcterms:created xsi:type="dcterms:W3CDTF">2025-06-03T01:19:35Z</dcterms:created>
  <dcterms:modified xsi:type="dcterms:W3CDTF">2025-06-03T01:19:35Z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