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46.png" ContentType="image/png"/>
  <Override PartName="/word/media/rId49.png" ContentType="image/png"/>
  <Override PartName="/word/media/rId60.png" ContentType="image/png"/>
  <Override PartName="/word/media/rId63.png" ContentType="image/png"/>
  <Override PartName="/word/media/rId54.png" ContentType="image/png"/>
  <Override PartName="/word/media/rId57.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Gut-brain</w:t>
      </w:r>
      <w:r>
        <w:rPr>
          <w:b/>
          <w:bCs/>
        </w:rPr>
        <w:t xml:space="preserve"> </w:t>
      </w:r>
      <w:r>
        <w:rPr>
          <w:b/>
          <w:bCs/>
        </w:rPr>
        <w:t xml:space="preserve">axis:</w:t>
      </w:r>
      <w:r>
        <w:rPr>
          <w:b/>
          <w:bCs/>
        </w:rPr>
        <w:t xml:space="preserve"> </w:t>
      </w:r>
      <w:r>
        <w:rPr>
          <w:b/>
          <w:bCs/>
        </w:rPr>
        <w:t xml:space="preserve">Autism</w:t>
      </w:r>
      <w:r>
        <w:rPr>
          <w:b/>
          <w:bCs/>
        </w:rPr>
        <w:t xml:space="preserve"> </w:t>
      </w:r>
      <w:r>
        <w:rPr>
          <w:b/>
          <w:bCs/>
        </w:rPr>
        <w:t xml:space="preserve">Spectrum</w:t>
      </w:r>
      <w:r>
        <w:rPr>
          <w:b/>
          <w:bCs/>
        </w:rPr>
        <w:t xml:space="preserve"> </w:t>
      </w:r>
      <w:r>
        <w:rPr>
          <w:b/>
          <w:bCs/>
        </w:rPr>
        <w:t xml:space="preserve">Disorder:</w:t>
      </w:r>
      <w:r>
        <w:rPr>
          <w:b/>
          <w:bCs/>
        </w:rPr>
        <w:t xml:space="preserve"> </w:t>
      </w:r>
      <w:r>
        <w:rPr>
          <w:b/>
          <w:bCs/>
        </w:rPr>
        <w:t xml:space="preserve">Student</w:t>
      </w:r>
      <w:r>
        <w:rPr>
          <w:b/>
          <w:bCs/>
        </w:rPr>
        <w:t xml:space="preserve"> </w:t>
      </w:r>
      <w:r>
        <w:rPr>
          <w:b/>
          <w:bCs/>
        </w:rPr>
        <w:t xml:space="preserve">Guide</w:t>
      </w:r>
    </w:p>
    <w:p>
      <w:pPr>
        <w:pStyle w:val="FirstParagraph"/>
      </w:pPr>
      <w:r>
        <w:t xml:space="preserve">This module introduces you to differential expression analyses using the R programming language.</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 to understand how researchers explore how human disorders might be impacted by gut-brain axis using model organisms.</w:t>
      </w:r>
    </w:p>
    <w:bookmarkStart w:id="36" w:name="part-1"/>
    <w:p>
      <w:pPr>
        <w:pStyle w:val="Heading2"/>
      </w:pPr>
      <w:r>
        <w:t xml:space="preserve">Part 1</w:t>
      </w:r>
    </w:p>
    <w:p>
      <w:pPr>
        <w:pStyle w:val="FirstParagraph"/>
      </w:pPr>
      <w:r>
        <w:t xml:space="preserve">In Part 1, we’ll go over some background context for this activity. Then, we’ll get set up on Posit Cloud for the next steps.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Autism Spectrum Disorder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bookmarkStart w:id="28"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Gut Microbiota from Human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End w:id="28"/>
    <w:bookmarkStart w:id="30"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29">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t xml:space="preserve">TODO: Add figure</w:t>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t xml:space="preserve">TODO: Add figure</w:t>
      </w:r>
    </w:p>
    <w:p>
      <w:pPr>
        <w:pStyle w:val="BodyText"/>
      </w:pPr>
      <w:r>
        <w:t xml:space="preserve">Rename your project</w:t>
      </w:r>
      <w:r>
        <w:t xml:space="preserve"> </w:t>
      </w:r>
      <w:r>
        <w:t xml:space="preserve">“</w:t>
      </w:r>
      <w:r>
        <w:t xml:space="preserve">Differential Expression ASD</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t xml:space="preserve">TODO: Add figure</w:t>
      </w:r>
    </w:p>
    <w:bookmarkEnd w:id="30"/>
    <w:bookmarkStart w:id="34"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TODO: Add figure</w:t>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(tidyverse)</w:t>
      </w:r>
    </w:p>
    <w:p>
      <w:pPr>
        <w:pStyle w:val="FirstParagraph"/>
      </w:pPr>
      <w:r>
        <w:t xml:space="preserve">TODO: Add figure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34"/>
    <w:bookmarkStart w:id="35" w:name="load-differential-expression-data"/>
    <w:p>
      <w:pPr>
        <w:pStyle w:val="Heading3"/>
      </w:pPr>
      <w:r>
        <w:t xml:space="preserve">Load Differential Expression Data</w:t>
      </w:r>
    </w:p>
    <w:p>
      <w:pPr>
        <w:pStyle w:val="FirstParagraph"/>
      </w:pPr>
      <w:r>
        <w:t xml:space="preserve">We’ll read in some data from the GEMs website. Run the following code in your console:</w:t>
      </w:r>
    </w:p>
    <w:p>
      <w:pPr>
        <w:pStyle w:val="SourceCode"/>
      </w:pPr>
      <w:r>
        <w:rPr>
          <w:rStyle w:val="NormalTok"/>
        </w:rPr>
        <w:t xml:space="preserve">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You have just loaded differential expression data comparing ASD-transplant mice and control-transplant mice for the prefrontal cortex region of the brain.</w:t>
      </w:r>
    </w:p>
    <w:bookmarkEnd w:id="35"/>
    <w:bookmarkEnd w:id="36"/>
    <w:bookmarkStart w:id="67" w:name="part-2"/>
    <w:p>
      <w:pPr>
        <w:pStyle w:val="Heading2"/>
      </w:pPr>
      <w:r>
        <w:t xml:space="preserve">Part 2</w:t>
      </w:r>
    </w:p>
    <w:p>
      <w:pPr>
        <w:pStyle w:val="FirstParagraph"/>
      </w:pPr>
      <w:r>
        <w:t xml:space="preserve">Let’s take a look at the data you loaded into R. Type the following code into the console:</w:t>
      </w:r>
    </w:p>
    <w:p>
      <w:pPr>
        <w:pStyle w:val="SourceCode"/>
      </w:pPr>
      <w:r>
        <w:rPr>
          <w:rStyle w:val="FunctionTok"/>
        </w:rPr>
        <w:t xml:space="preserve">head</w:t>
      </w:r>
      <w:r>
        <w:rPr>
          <w:rStyle w:val="NormalTok"/>
        </w:rPr>
        <w:t xml:space="preserve">(prefrontal)</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ENSMUSG00000090303     23.2          -25.1  1.92 -13.1 3.75e-39 1.36e-34</w:t>
      </w:r>
      <w:r>
        <w:br/>
      </w:r>
      <w:r>
        <w:rPr>
          <w:rStyle w:val="VerbatimChar"/>
        </w:rPr>
        <w:t xml:space="preserve">2 ENSMUSG00000086112     17.5          -24.7  1.93 -12.8 2.63e-37 4.74e-33</w:t>
      </w:r>
      <w:r>
        <w:br/>
      </w:r>
      <w:r>
        <w:rPr>
          <w:rStyle w:val="VerbatimChar"/>
        </w:rPr>
        <w:t xml:space="preserve">3 ENSMUSG00000101734     20.2          -24.9  2.06 -12.1 8.68e-34 1.04e-29</w:t>
      </w:r>
      <w:r>
        <w:br/>
      </w:r>
      <w:r>
        <w:rPr>
          <w:rStyle w:val="VerbatimChar"/>
        </w:rPr>
        <w:t xml:space="preserve">4 ENSMUSG00000118036     17.6          -24.7  2.07 -11.9 6.87e-33 6.20e-29</w:t>
      </w:r>
      <w:r>
        <w:br/>
      </w:r>
      <w:r>
        <w:rPr>
          <w:rStyle w:val="VerbatimChar"/>
        </w:rPr>
        <w:t xml:space="preserve">5 ENSMUSG00000111968     25.0          -25.2  2.18 -11.6 5.79e-31 3.64e-27</w:t>
      </w:r>
      <w:r>
        <w:br/>
      </w:r>
      <w:r>
        <w:rPr>
          <w:rStyle w:val="VerbatimChar"/>
        </w:rPr>
        <w:t xml:space="preserve">6 ENSMUSG00000080716     25.4          -25.2  2.18 -11.6 6.05e-31 3.64e-27</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 name="Picture"/>
                  <a:graphic>
                    <a:graphicData uri="http://schemas.openxmlformats.org/drawingml/2006/picture">
                      <pic:pic>
                        <pic:nvPicPr>
                          <pic:cNvPr descr="/opt/quarto/share/formats/docx/tip.png" id="38"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 the column names mean?</w:t>
            </w:r>
          </w:p>
        </w:tc>
      </w:tr>
      <w:tr>
        <w:trPr>
          <w:cantSplit/>
        </w:trPr>
        <w:tc>
          <w:tcPr>
            <w:tcMar>
              <w:top w:w="108" w:type="dxa"/>
              <w:bottom w:w="108" w:type="dxa"/>
            </w:tcMar>
          </w:tcPr>
          <w:p>
            <w:pPr>
              <w:pStyle w:val="BodyText"/>
            </w:pPr>
            <w:pPr>
              <w:spacing w:before="16"/>
            </w:pPr>
            <w:r>
              <w:t xml:space="preserve">When working with someone else’s data, it can be difficult to figure out what a particular column or variable name means. A</w:t>
            </w:r>
            <w:r>
              <w:t xml:space="preserve"> </w:t>
            </w:r>
            <w:r>
              <w:rPr>
                <w:b/>
                <w:bCs/>
              </w:rPr>
              <w:t xml:space="preserve">data dictionary</w:t>
            </w:r>
            <w:r>
              <w:t xml:space="preserve"> </w:t>
            </w:r>
            <w:r>
              <w:t xml:space="preserve">is a key to decode these!</w:t>
            </w:r>
          </w:p>
          <w:p>
            <w:pPr>
              <w:pStyle w:val="BodyText"/>
            </w:pPr>
            <w:pPr>
              <w:spacing w:after="16"/>
            </w:pPr>
            <w:r>
              <w:rPr>
                <w:b/>
                <w:bCs/>
              </w:rPr>
              <w:t xml:space="preserve">gene</w:t>
            </w:r>
            <w:r>
              <w:t xml:space="preserve">: the geneID (see below for more detail).</w:t>
            </w:r>
            <w:r>
              <w:t xml:space="preserve"> </w:t>
            </w:r>
            <w:r>
              <w:rPr>
                <w:b/>
                <w:bCs/>
              </w:rPr>
              <w:t xml:space="preserve">baseMean</w:t>
            </w:r>
            <w:r>
              <w:t xml:space="preserve">: the average of the normalized count values for this gene, taken over all samples.</w:t>
            </w:r>
            <w:r>
              <w:t xml:space="preserve"> </w:t>
            </w:r>
            <w:r>
              <w:rPr>
                <w:b/>
                <w:bCs/>
              </w:rPr>
              <w:t xml:space="preserve">log2FoldChange</w:t>
            </w:r>
            <w:r>
              <w:t xml:space="preserve">: a measure of the change in gene expression for this gene between the ASD and control mice. A positive value indicates upregulation (increased expression), while a negative Log2FC indicates downregulation (decreased expression).</w:t>
            </w:r>
            <w:r>
              <w:t xml:space="preserve"> </w:t>
            </w:r>
            <w:r>
              <w:rPr>
                <w:b/>
                <w:bCs/>
              </w:rPr>
              <w:t xml:space="preserve">lfcSE</w:t>
            </w:r>
            <w:r>
              <w:t xml:space="preserve">: the standard error calculated for log2FoldChange.</w:t>
            </w:r>
            <w:r>
              <w:t xml:space="preserve"> </w:t>
            </w:r>
            <w:r>
              <w:rPr>
                <w:b/>
                <w:bCs/>
              </w:rPr>
              <w:t xml:space="preserve">stat</w:t>
            </w:r>
            <w:r>
              <w:t xml:space="preserve">: t-value calculated to determine if the log2FoldChange is significantly different from zero.</w:t>
            </w:r>
            <w:r>
              <w:t xml:space="preserve"> </w:t>
            </w:r>
            <w:r>
              <w:rPr>
                <w:b/>
                <w:bCs/>
              </w:rPr>
              <w:t xml:space="preserve">pvalue</w:t>
            </w:r>
            <w:r>
              <w:t xml:space="preserve">: the p-value for the log2FoldChange.</w:t>
            </w:r>
            <w:r>
              <w:t xml:space="preserve"> </w:t>
            </w:r>
            <w:r>
              <w:rPr>
                <w:b/>
                <w:bCs/>
              </w:rPr>
              <w:t xml:space="preserve">padj</w:t>
            </w:r>
            <w:r>
              <w:t xml:space="preserve">: the p-value, adjusted for multiple testing.</w:t>
            </w:r>
          </w:p>
        </w:tc>
      </w:tr>
    </w:tbl>
    <w:p>
      <w:pPr>
        <w:pStyle w:val="BodyText"/>
      </w:pPr>
      <w:r>
        <w:t xml:space="preserve">In this dataset, genes are identified using their Ensembl Gene ID code. Every gene has an ID that looks something like this:</w:t>
      </w:r>
    </w:p>
    <w:p>
      <w:pPr>
        <w:pStyle w:val="BlockText"/>
      </w:pPr>
      <w:r>
        <w:t xml:space="preserve">ENSMUSG00000000001</w:t>
      </w:r>
    </w:p>
    <w:p>
      <w:pPr>
        <w:pStyle w:val="FirstParagraph"/>
      </w:pPr>
      <w:r>
        <w:rPr>
          <w:b/>
          <w:bCs/>
        </w:rPr>
        <w:t xml:space="preserve">ENS</w:t>
      </w:r>
      <w:r>
        <w:t xml:space="preserve"> </w:t>
      </w:r>
      <w:r>
        <w:t xml:space="preserve">stands for</w:t>
      </w:r>
      <w:r>
        <w:t xml:space="preserve"> </w:t>
      </w:r>
      <w:r>
        <w:t xml:space="preserve">“</w:t>
      </w:r>
      <w:r>
        <w:t xml:space="preserve">Ensembl</w:t>
      </w:r>
      <w:r>
        <w:t xml:space="preserve">”</w:t>
      </w:r>
      <w:r>
        <w:t xml:space="preserve">. Ensembl is a</w:t>
      </w:r>
      <w:r>
        <w:t xml:space="preserve"> </w:t>
      </w:r>
      <w:hyperlink r:id="rId39">
        <w:r>
          <w:rPr>
            <w:rStyle w:val="Hyperlink"/>
          </w:rPr>
          <w:t xml:space="preserve">genome database project</w:t>
        </w:r>
      </w:hyperlink>
      <w:r>
        <w:t xml:space="preserve"> </w:t>
      </w:r>
      <w:r>
        <w:t xml:space="preserve">managed by the European Bioinformatics Institute. It’s one of several databases like this. Others include NIH’s National Center for Biotechnology Information (NCBI; the organization that manages GenBank and PubMed) and the University of California, Santa Cruz (UCSC) Genome Browser. When a gene code starts with</w:t>
      </w:r>
      <w:r>
        <w:t xml:space="preserve"> </w:t>
      </w:r>
      <w:r>
        <w:t xml:space="preserve">“</w:t>
      </w:r>
      <w:r>
        <w:t xml:space="preserve">ENS</w:t>
      </w:r>
      <w:r>
        <w:t xml:space="preserve">”</w:t>
      </w:r>
      <w:r>
        <w:t xml:space="preserve">, it means you should look up the gene code in the Ensembl database.</w:t>
      </w:r>
    </w:p>
    <w:p>
      <w:pPr>
        <w:pStyle w:val="BodyText"/>
      </w:pPr>
      <w:r>
        <w:rPr>
          <w:b/>
          <w:bCs/>
        </w:rPr>
        <w:t xml:space="preserve">MUS</w:t>
      </w:r>
      <w:r>
        <w:t xml:space="preserve"> </w:t>
      </w:r>
      <w:r>
        <w:t xml:space="preserve">stands for</w:t>
      </w:r>
      <w:r>
        <w:t xml:space="preserve"> </w:t>
      </w:r>
      <w:r>
        <w:t xml:space="preserve">“</w:t>
      </w:r>
      <w:r>
        <w:t xml:space="preserve">Mus</w:t>
      </w:r>
      <w:r>
        <w:t xml:space="preserve">”</w:t>
      </w:r>
      <w:r>
        <w:t xml:space="preserve">, which is the genus for the mouse.</w:t>
      </w:r>
    </w:p>
    <w:p>
      <w:pPr>
        <w:pStyle w:val="BodyText"/>
      </w:pPr>
      <w:r>
        <w:rPr>
          <w:b/>
          <w:bCs/>
        </w:rPr>
        <w:t xml:space="preserve">G</w:t>
      </w:r>
      <w:r>
        <w:t xml:space="preserve"> </w:t>
      </w:r>
      <w:r>
        <w:t xml:space="preserve">stands for</w:t>
      </w:r>
      <w:r>
        <w:t xml:space="preserve"> </w:t>
      </w:r>
      <w:r>
        <w:t xml:space="preserve">“</w:t>
      </w:r>
      <w:r>
        <w:t xml:space="preserve">Gene</w:t>
      </w:r>
      <w:r>
        <w:t xml:space="preserve">”</w:t>
      </w:r>
      <w:r>
        <w:t xml:space="preserve">. When you see</w:t>
      </w:r>
      <w:r>
        <w:t xml:space="preserve"> </w:t>
      </w:r>
      <w:r>
        <w:t xml:space="preserve">“</w:t>
      </w:r>
      <w:r>
        <w:t xml:space="preserve">G</w:t>
      </w:r>
      <w:r>
        <w:t xml:space="preserve">”</w:t>
      </w:r>
      <w:r>
        <w:t xml:space="preserve"> </w:t>
      </w:r>
      <w:r>
        <w:t xml:space="preserve">in the ID name, you know you are working with a gene. There are also codes for transcripts (</w:t>
      </w:r>
      <w:r>
        <w:t xml:space="preserve">“</w:t>
      </w:r>
      <w:r>
        <w:t xml:space="preserve">T</w:t>
      </w:r>
      <w:r>
        <w:t xml:space="preserve">”</w:t>
      </w:r>
      <w:r>
        <w:t xml:space="preserve">), exons (</w:t>
      </w:r>
      <w:r>
        <w:t xml:space="preserve">“</w:t>
      </w:r>
      <w:r>
        <w:t xml:space="preserve">E</w:t>
      </w:r>
      <w:r>
        <w:t xml:space="preserve">”</w:t>
      </w:r>
      <w:r>
        <w:t xml:space="preserve">), and proteins (</w:t>
      </w:r>
      <w:r>
        <w:t xml:space="preserve">“</w:t>
      </w:r>
      <w:r>
        <w:t xml:space="preserve">P</w:t>
      </w:r>
      <w:r>
        <w:t xml:space="preserve">”</w:t>
      </w:r>
      <w:r>
        <w:t xml:space="preserve">).</w:t>
      </w:r>
    </w:p>
    <w:p>
      <w:pPr>
        <w:pStyle w:val="BodyText"/>
      </w:pPr>
      <w:r>
        <w:rPr>
          <w:b/>
          <w:bCs/>
        </w:rPr>
        <w:t xml:space="preserve">00000000001</w:t>
      </w:r>
      <w:r>
        <w:t xml:space="preserve"> </w:t>
      </w:r>
      <w:r>
        <w:t xml:space="preserve">is the numerical code associated with the gene.</w:t>
      </w:r>
    </w:p>
    <w:bookmarkStart w:id="40" w:name="ranking-the-genes-by-log2foldchange"/>
    <w:p>
      <w:pPr>
        <w:pStyle w:val="Heading3"/>
      </w:pPr>
      <w:r>
        <w:t xml:space="preserve">Ranking the genes by log2FoldChange</w:t>
      </w:r>
    </w:p>
    <w:p>
      <w:pPr>
        <w:pStyle w:val="FirstParagraph"/>
      </w:pPr>
      <w:r>
        <w:t xml:space="preserve">The log2FoldChange value gives us an idea of which genes show the greatest differential expression between the ASD mice and the control mice. We can arrange the table based on these values (going from smallest to largest) by copying the following code into your console:</w:t>
      </w:r>
    </w:p>
    <w:p>
      <w:pPr>
        <w:pStyle w:val="SourceCode"/>
      </w:pPr>
      <w:r>
        <w:rPr>
          <w:rStyle w:val="NormalTok"/>
        </w:rPr>
        <w:t xml:space="preserve">prefrontal_ascending </w:t>
      </w:r>
      <w:r>
        <w:rPr>
          <w:rStyle w:val="OtherTok"/>
        </w:rPr>
        <w:t xml:space="preserve">&lt;-</w:t>
      </w:r>
      <w:r>
        <w:rPr>
          <w:rStyle w:val="NormalTok"/>
        </w:rPr>
        <w:t xml:space="preserve"> </w:t>
      </w:r>
      <w:r>
        <w:rPr>
          <w:rStyle w:val="FunctionTok"/>
        </w:rPr>
        <w:t xml:space="preserve">arrange</w:t>
      </w:r>
      <w:r>
        <w:rPr>
          <w:rStyle w:val="NormalTok"/>
        </w:rPr>
        <w:t xml:space="preserve">(prefrontal, log2FoldChange)</w:t>
      </w:r>
      <w:r>
        <w:br/>
      </w:r>
      <w:r>
        <w:rPr>
          <w:rStyle w:val="FunctionTok"/>
        </w:rPr>
        <w:t xml:space="preserve">head</w:t>
      </w:r>
      <w:r>
        <w:rPr>
          <w:rStyle w:val="NormalTok"/>
        </w:rPr>
        <w:t xml:space="preserve">(prefrontal_ascending)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ENSMUSG00000080716     25.4          -25.2  2.18 -11.6  6.05e-31 3.64e-27</w:t>
      </w:r>
      <w:r>
        <w:br/>
      </w:r>
      <w:r>
        <w:rPr>
          <w:rStyle w:val="VerbatimChar"/>
        </w:rPr>
        <w:t xml:space="preserve">2 ENSMUSG00000111968     25.0          -25.2  2.18 -11.6  5.79e-31 3.64e-27</w:t>
      </w:r>
      <w:r>
        <w:br/>
      </w:r>
      <w:r>
        <w:rPr>
          <w:rStyle w:val="VerbatimChar"/>
        </w:rPr>
        <w:t xml:space="preserve">3 ENSMUSG00000090303     23.2          -25.1  1.92 -13.1  3.75e-39 1.36e-34</w:t>
      </w:r>
      <w:r>
        <w:br/>
      </w:r>
      <w:r>
        <w:rPr>
          <w:rStyle w:val="VerbatimChar"/>
        </w:rPr>
        <w:t xml:space="preserve">4 ENSMUSG00000062818     21.2          -25.0  2.36 -10.6  3.54e-26 1.07e-22</w:t>
      </w:r>
      <w:r>
        <w:br/>
      </w:r>
      <w:r>
        <w:rPr>
          <w:rStyle w:val="VerbatimChar"/>
        </w:rPr>
        <w:t xml:space="preserve">5 ENSMUSG00000101734     20.2          -24.9  2.06 -12.1  8.68e-34 1.04e-29</w:t>
      </w:r>
      <w:r>
        <w:br/>
      </w:r>
      <w:r>
        <w:rPr>
          <w:rStyle w:val="VerbatimChar"/>
        </w:rPr>
        <w:t xml:space="preserve">6 ENSMUSG00000110465     20.0          -24.9  2.56  -9.72 2.57e-22 3.31e-19</w:t>
      </w:r>
    </w:p>
    <w:p>
      <w:pPr>
        <w:pStyle w:val="FirstParagraph"/>
      </w:pPr>
      <w:r>
        <w:t xml:space="preserve">We can use a similar command to look at the genes with the largest positive log2FoldChange.</w:t>
      </w:r>
    </w:p>
    <w:p>
      <w:pPr>
        <w:pStyle w:val="SourceCode"/>
      </w:pPr>
      <w:r>
        <w:rPr>
          <w:rStyle w:val="NormalTok"/>
        </w:rPr>
        <w:t xml:space="preserve">prefrontal_descending </w:t>
      </w:r>
      <w:r>
        <w:rPr>
          <w:rStyle w:val="OtherTok"/>
        </w:rPr>
        <w:t xml:space="preserve">&lt;-</w:t>
      </w:r>
      <w:r>
        <w:rPr>
          <w:rStyle w:val="NormalTok"/>
        </w:rPr>
        <w:t xml:space="preserve"> </w:t>
      </w:r>
      <w:r>
        <w:rPr>
          <w:rStyle w:val="FunctionTok"/>
        </w:rPr>
        <w:t xml:space="preserve">arrange</w:t>
      </w:r>
      <w:r>
        <w:rPr>
          <w:rStyle w:val="NormalTok"/>
        </w:rPr>
        <w:t xml:space="preserve">(prefrontal, </w:t>
      </w:r>
      <w:r>
        <w:rPr>
          <w:rStyle w:val="FunctionTok"/>
        </w:rPr>
        <w:t xml:space="preserve">desc</w:t>
      </w:r>
      <w:r>
        <w:rPr>
          <w:rStyle w:val="NormalTok"/>
        </w:rPr>
        <w:t xml:space="preserve">(log2FoldChange))</w:t>
      </w:r>
      <w:r>
        <w:br/>
      </w:r>
      <w:r>
        <w:rPr>
          <w:rStyle w:val="FunctionTok"/>
        </w:rPr>
        <w:t xml:space="preserve">head</w:t>
      </w:r>
      <w:r>
        <w:rPr>
          <w:rStyle w:val="NormalTok"/>
        </w:rPr>
        <w:t xml:space="preserve">(prefrontal_descending)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ENSMUSG00000113093     17.0           24.6  2.93  8.37 5.63e-17 2.86e-14</w:t>
      </w:r>
      <w:r>
        <w:br/>
      </w:r>
      <w:r>
        <w:rPr>
          <w:rStyle w:val="VerbatimChar"/>
        </w:rPr>
        <w:t xml:space="preserve">2 ENSMUSG00000112524     15.3           24.4  2.70  9.05 1.44e-19 1.06e-16</w:t>
      </w:r>
      <w:r>
        <w:br/>
      </w:r>
      <w:r>
        <w:rPr>
          <w:rStyle w:val="VerbatimChar"/>
        </w:rPr>
        <w:t xml:space="preserve">3 ENSMUSG00000069301     13.9           24.3  2.73  8.91 5.30e-19 3.36e-16</w:t>
      </w:r>
      <w:r>
        <w:br/>
      </w:r>
      <w:r>
        <w:rPr>
          <w:rStyle w:val="VerbatimChar"/>
        </w:rPr>
        <w:t xml:space="preserve">4 ENSMUSG00000104341     12.5           24.1  2.93  8.23 1.88e-16 9.06e-14</w:t>
      </w:r>
      <w:r>
        <w:br/>
      </w:r>
      <w:r>
        <w:rPr>
          <w:rStyle w:val="VerbatimChar"/>
        </w:rPr>
        <w:t xml:space="preserve">5 ENSMUSG00000073974     15.0           24.1  2.70  8.92 4.87e-19 3.14e-16</w:t>
      </w:r>
      <w:r>
        <w:br/>
      </w:r>
      <w:r>
        <w:rPr>
          <w:rStyle w:val="VerbatimChar"/>
        </w:rPr>
        <w:t xml:space="preserve">6 ENSMUSG00000054136     11.9           24.1  2.50  9.61 7.22e-22 7.66e-19</w:t>
      </w:r>
    </w:p>
    <w:p>
      <w:pPr>
        <w:pStyle w:val="FirstParagraph"/>
      </w:pPr>
      <w:r>
        <w:t xml:space="preserve">TODO: Add details about positive vs negative values, ask students to identify which ones have the greatest log2FoldChange</w:t>
      </w:r>
    </w:p>
    <w:bookmarkEnd w:id="40"/>
    <w:bookmarkStart w:id="66" w:name="using-the-mouse-genome-database"/>
    <w:p>
      <w:pPr>
        <w:pStyle w:val="Heading3"/>
      </w:pPr>
      <w:r>
        <w:t xml:space="preserve">Using the Mouse Genome Database</w:t>
      </w:r>
    </w:p>
    <w:p>
      <w:pPr>
        <w:pStyle w:val="FirstParagraph"/>
      </w:pPr>
      <w:r>
        <w:t xml:space="preserve">We have identified the genes (by their geneID) that show the greatest differential expression between ASD and control mice. Now let’s find out what those genes do!</w:t>
      </w:r>
    </w:p>
    <w:p>
      <w:pPr>
        <w:pStyle w:val="BodyText"/>
      </w:pPr>
      <w:r>
        <w:t xml:space="preserve">The</w:t>
      </w:r>
      <w:r>
        <w:t xml:space="preserve"> </w:t>
      </w:r>
      <w:hyperlink r:id="rId41">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42">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44" name="Picture"/>
            <a:graphic>
              <a:graphicData uri="http://schemas.openxmlformats.org/drawingml/2006/picture">
                <pic:pic>
                  <pic:nvPicPr>
                    <pic:cNvPr descr="resources/images/rnaseq_de_student-guide_files/figure-docx//1vikcyml6uw-_DaC1yFpS-UWoWNEGxFukMB_eCi42BqY_g357f7ed062e_9_0.png" id="45"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47" name="Picture"/>
            <a:graphic>
              <a:graphicData uri="http://schemas.openxmlformats.org/drawingml/2006/picture">
                <pic:pic>
                  <pic:nvPicPr>
                    <pic:cNvPr descr="resources/images/rnaseq_de_student-guide_files/figure-docx//1vikcyml6uw-_DaC1yFpS-UWoWNEGxFukMB_eCi42BqY_g3412c9eee7c_0_1.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50" name="Picture"/>
            <a:graphic>
              <a:graphicData uri="http://schemas.openxmlformats.org/drawingml/2006/picture">
                <pic:pic>
                  <pic:nvPicPr>
                    <pic:cNvPr descr="resources/images/rnaseq_de_student-guide_files/figure-docx//1vikcyml6uw-_DaC1yFpS-UWoWNEGxFukMB_eCi42BqY_g346083d4dc0_0_0.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opt/quarto/share/formats/docx/tip.png" id="5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(An Open Reading Frame, or ORF, is a stretch of DNA between a start codon and a stop codon that can be translated into a protein.) Putative genes are not given names until they become confirmed genes.</w:t>
            </w:r>
          </w:p>
          <w:p>
            <w:pPr>
              <w:pStyle w:val="BodyText"/>
            </w:pPr>
            <w:pPr>
              <w:spacing w:after="16"/>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tc>
      </w:tr>
    </w:tbl>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55" name="Picture"/>
            <a:graphic>
              <a:graphicData uri="http://schemas.openxmlformats.org/drawingml/2006/picture">
                <pic:pic>
                  <pic:nvPicPr>
                    <pic:cNvPr descr="resources/images/rnaseq_de_student-guide_files/figure-docx//1vikcyml6uw-_DaC1yFpS-UWoWNEGxFukMB_eCi42BqY_g346083d4dc0_0_5.png" id="56"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58" name="Picture"/>
            <a:graphic>
              <a:graphicData uri="http://schemas.openxmlformats.org/drawingml/2006/picture">
                <pic:pic>
                  <pic:nvPicPr>
                    <pic:cNvPr descr="resources/images/rnaseq_de_student-guide_files/figure-docx//1vikcyml6uw-_DaC1yFpS-UWoWNEGxFukMB_eCi42BqY_g346083d4dc0_0_8.png" id="59"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w:t>
      </w:r>
    </w:p>
    <w:p>
      <w:pPr>
        <w:pStyle w:val="BodyText"/>
      </w:pPr>
      <w:r>
        <w:drawing>
          <wp:inline>
            <wp:extent cx="5334000" cy="3000375"/>
            <wp:effectExtent b="0" l="0" r="0" t="0"/>
            <wp:docPr descr="" title="" id="61" name="Picture"/>
            <a:graphic>
              <a:graphicData uri="http://schemas.openxmlformats.org/drawingml/2006/picture">
                <pic:pic>
                  <pic:nvPicPr>
                    <pic:cNvPr descr="resources/images/rnaseq_de_student-guide_files/figure-docx//1vikcyml6uw-_DaC1yFpS-UWoWNEGxFukMB_eCi42BqY_g346083d4dc0_0_11.png" id="62"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64" name="Picture"/>
            <a:graphic>
              <a:graphicData uri="http://schemas.openxmlformats.org/drawingml/2006/picture">
                <pic:pic>
                  <pic:nvPicPr>
                    <pic:cNvPr descr="resources/images/rnaseq_de_student-guide_files/figure-docx//1vikcyml6uw-_DaC1yFpS-UWoWNEGxFukMB_eCi42BqY_g346083d4dc0_0_18.png" id="65"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TODO: Add questions that have students look information up on MGI. Add more MGI information on reg3a</w:t>
      </w:r>
    </w:p>
    <w:bookmarkEnd w:id="66"/>
    <w:bookmarkEnd w:id="67"/>
    <w:bookmarkStart w:id="70" w:name="part-3"/>
    <w:p>
      <w:pPr>
        <w:pStyle w:val="Heading2"/>
      </w:pPr>
      <w:r>
        <w:t xml:space="preserve">Part 3</w:t>
      </w:r>
    </w:p>
    <w:p>
      <w:pPr>
        <w:pStyle w:val="FirstParagraph"/>
      </w:pPr>
      <w:r>
        <w:t xml:space="preserve">In part 3, we’ll create a list of genes that are differentially expressed in the prefrontal cortex, then examine whether they show the same differential expression pattern in the striatum.</w:t>
      </w:r>
    </w:p>
    <w:bookmarkStart w:id="68" w:name="creating-a-gene-list"/>
    <w:p>
      <w:pPr>
        <w:pStyle w:val="Heading3"/>
      </w:pPr>
      <w:r>
        <w:t xml:space="preserve">Creating a gene list</w:t>
      </w:r>
    </w:p>
    <w:p>
      <w:pPr>
        <w:pStyle w:val="FirstParagraph"/>
      </w:pPr>
      <w:r>
        <w:t xml:space="preserve">TODO: add information about padj and why it’s a better measure than log2FoldChange</w:t>
      </w:r>
    </w:p>
    <w:p>
      <w:pPr>
        <w:pStyle w:val="BodyText"/>
      </w:pPr>
      <w:r>
        <w:t xml:space="preserve">Next, you might want to create a list of all the genes that are differentially expressed between ASD and control mice using the</w:t>
      </w:r>
      <w:r>
        <w:t xml:space="preserve"> </w:t>
      </w:r>
      <w:r>
        <w:rPr>
          <w:rStyle w:val="VerbatimChar"/>
        </w:rPr>
        <w:t xml:space="preserve">filter</w:t>
      </w:r>
      <w:r>
        <w:t xml:space="preserve"> </w:t>
      </w:r>
      <w:r>
        <w:t xml:space="preserve">command.</w:t>
      </w:r>
    </w:p>
    <w:p>
      <w:pPr>
        <w:pStyle w:val="BodyText"/>
      </w:pPr>
      <w:r>
        <w:t xml:space="preserve">TODO: add threshold information</w:t>
      </w:r>
    </w:p>
    <w:p>
      <w:pPr>
        <w:pStyle w:val="SourceCode"/>
      </w:pPr>
      <w:r>
        <w:rPr>
          <w:rStyle w:val="NormalTok"/>
        </w:rPr>
        <w:t xml:space="preserve">prefrontal_sig </w:t>
      </w:r>
      <w:r>
        <w:rPr>
          <w:rStyle w:val="OtherTok"/>
        </w:rPr>
        <w:t xml:space="preserve">&lt;-</w:t>
      </w:r>
      <w:r>
        <w:rPr>
          <w:rStyle w:val="NormalTok"/>
        </w:rPr>
        <w:t xml:space="preserve"> </w:t>
      </w:r>
      <w:r>
        <w:rPr>
          <w:rStyle w:val="FunctionTok"/>
        </w:rPr>
        <w:t xml:space="preserve">filter</w:t>
      </w:r>
      <w:r>
        <w:rPr>
          <w:rStyle w:val="NormalTok"/>
        </w:rPr>
        <w:t xml:space="preserve">(prefrontal,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(prefrontal_sig)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ENSMUSG00000090303     23.2          -25.1  1.92 -13.1 3.75e-39 1.36e-34</w:t>
      </w:r>
      <w:r>
        <w:br/>
      </w:r>
      <w:r>
        <w:rPr>
          <w:rStyle w:val="VerbatimChar"/>
        </w:rPr>
        <w:t xml:space="preserve">2 ENSMUSG00000086112     17.5          -24.7  1.93 -12.8 2.63e-37 4.74e-33</w:t>
      </w:r>
      <w:r>
        <w:br/>
      </w:r>
      <w:r>
        <w:rPr>
          <w:rStyle w:val="VerbatimChar"/>
        </w:rPr>
        <w:t xml:space="preserve">3 ENSMUSG00000101734     20.2          -24.9  2.06 -12.1 8.68e-34 1.04e-29</w:t>
      </w:r>
      <w:r>
        <w:br/>
      </w:r>
      <w:r>
        <w:rPr>
          <w:rStyle w:val="VerbatimChar"/>
        </w:rPr>
        <w:t xml:space="preserve">4 ENSMUSG00000118036     17.6          -24.7  2.07 -11.9 6.87e-33 6.20e-29</w:t>
      </w:r>
      <w:r>
        <w:br/>
      </w:r>
      <w:r>
        <w:rPr>
          <w:rStyle w:val="VerbatimChar"/>
        </w:rPr>
        <w:t xml:space="preserve">5 ENSMUSG00000111968     25.0          -25.2  2.18 -11.6 5.79e-31 3.64e-27</w:t>
      </w:r>
      <w:r>
        <w:br/>
      </w:r>
      <w:r>
        <w:rPr>
          <w:rStyle w:val="VerbatimChar"/>
        </w:rPr>
        <w:t xml:space="preserve">6 ENSMUSG00000080716     25.4          -25.2  2.18 -11.6 6.05e-31 3.64e-27</w:t>
      </w:r>
    </w:p>
    <w:p>
      <w:pPr>
        <w:pStyle w:val="SourceCode"/>
      </w:pPr>
      <w:r>
        <w:rPr>
          <w:rStyle w:val="FunctionTok"/>
        </w:rPr>
        <w:t xml:space="preserve">dim</w:t>
      </w:r>
      <w:r>
        <w:rPr>
          <w:rStyle w:val="NormalTok"/>
        </w:rPr>
        <w:t xml:space="preserve">(prefrontal_sig)</w:t>
      </w:r>
    </w:p>
    <w:p>
      <w:pPr>
        <w:pStyle w:val="SourceCode"/>
      </w:pPr>
      <w:r>
        <w:rPr>
          <w:rStyle w:val="VerbatimChar"/>
        </w:rPr>
        <w:t xml:space="preserve">[1] 103   7</w:t>
      </w:r>
    </w:p>
    <w:p>
      <w:pPr>
        <w:pStyle w:val="FirstParagraph"/>
      </w:pPr>
      <w:r>
        <w:t xml:space="preserve">TODO: Add question about the number of genes that pass this threshold, as well as how many are positive vs negative wrt log2FoldChange</w:t>
      </w:r>
    </w:p>
    <w:p>
      <w:pPr>
        <w:pStyle w:val="BodyText"/>
      </w:pPr>
      <w:r>
        <w:t xml:space="preserve">TODO: Add question about whether the genes identified in part 2 pass this threshold</w:t>
      </w:r>
    </w:p>
    <w:bookmarkEnd w:id="68"/>
    <w:bookmarkStart w:id="69"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need to load the differential expression data for the striatum.</w:t>
      </w:r>
    </w:p>
    <w:p>
      <w:pPr>
        <w:pStyle w:val="SourceCode"/>
      </w:pPr>
      <w:r>
        <w:rPr>
          <w:rStyle w:val="NormalTok"/>
        </w:rPr>
        <w:t xml:space="preserve">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p>
      <w:pPr>
        <w:pStyle w:val="FirstParagraph"/>
      </w:pPr>
      <w:r>
        <w:t xml:space="preserve">TODO: add question about whether the expression pattern is the same in both tissues</w:t>
      </w:r>
    </w:p>
    <w:p>
      <w:pPr>
        <w:pStyle w:val="BodyText"/>
      </w:pPr>
      <w:r>
        <w:t xml:space="preserve">TODO: add code/question where they look up the expression of the genes from part 2</w:t>
      </w:r>
    </w:p>
    <w:bookmarkEnd w:id="69"/>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43" Target="media/rId43.png" /><Relationship Type="http://schemas.openxmlformats.org/officeDocument/2006/relationships/hyperlink" Id="rId39" Target="https://ensemblgenomes.org/"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1" Target="https://www.informatics.jax.org" TargetMode="External" /><Relationship Type="http://schemas.openxmlformats.org/officeDocument/2006/relationships/hyperlink" Id="rId42"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39" Target="https://ensemblgenomes.org/"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1" Target="https://www.informatics.jax.org" TargetMode="External" /><Relationship Type="http://schemas.openxmlformats.org/officeDocument/2006/relationships/hyperlink" Id="rId42"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Gut-brain axis: Autism Spectrum Disorder: Student Guide</dc:title>
  <dc:creator/>
  <cp:keywords/>
  <dcterms:created xsi:type="dcterms:W3CDTF">2025-06-02T18:02:46Z</dcterms:created>
  <dcterms:modified xsi:type="dcterms:W3CDTF">2025-06-02T18:02:46Z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