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p>
      <w:pPr>
        <w:pStyle w:val="FirstParagraph"/>
      </w:pPr>
      <w:r>
        <w:t xml:space="preserve">Here you can find a list of modules we developed.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Differential Expression with RNA-seq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All of Us: Ethics in choosing methods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Genomic Medicine: Polygenic Risk Score Calculation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Using Public Genomic Databases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odule/AOU_method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4" Target="module/public_databases.html" TargetMode="External" /><Relationship Type="http://schemas.openxmlformats.org/officeDocument/2006/relationships/hyperlink" Id="rId20" Target="module/rnaseq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odule/AOU_method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4" Target="module/public_databases.html" TargetMode="External" /><Relationship Type="http://schemas.openxmlformats.org/officeDocument/2006/relationships/hyperlink" Id="rId20" Target="module/rnaseq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2025-06-02T03:02:13Z</dcterms:created>
  <dcterms:modified xsi:type="dcterms:W3CDTF">2025-06-02T03:02:13Z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