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Family Markers: Using Multiply-Affected Families to Identify Risk Genes</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2-3 hours (depending on student familiarity with R)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3" w:name="materials"/>
    <w:p>
      <w:pPr>
        <w:pStyle w:val="Heading2"/>
      </w:pPr>
      <w:r>
        <w:t xml:space="preserve">Materials</w:t>
      </w:r>
    </w:p>
    <w:bookmarkStart w:id="39"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bookmarkEnd w:id="39"/>
    <w:bookmarkStart w:id="42"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0">
        <w:r>
          <w:rPr>
            <w:rStyle w:val="Hyperlink"/>
          </w:rPr>
          <w:t xml:space="preserve">here</w:t>
        </w:r>
      </w:hyperlink>
      <w:r>
        <w:t xml:space="preserve">.</w:t>
      </w:r>
    </w:p>
    <w:p>
      <w:pPr>
        <w:pStyle w:val="BodyText"/>
      </w:pPr>
      <w:r>
        <w:t xml:space="preserve">An answer key is available</w:t>
      </w:r>
      <w:r>
        <w:t xml:space="preserve"> </w:t>
      </w:r>
      <w:hyperlink r:id="rId41">
        <w:r>
          <w:rPr>
            <w:rStyle w:val="Hyperlink"/>
          </w:rPr>
          <w:t xml:space="preserve">here</w:t>
        </w:r>
      </w:hyperlink>
      <w:r>
        <w:t xml:space="preserve">. Please message Ava Hoffman (ahoffma2 at fredhutch dot org) to get access.</w:t>
      </w:r>
    </w:p>
    <w:bookmarkEnd w:id="42"/>
    <w:bookmarkEnd w:id="43"/>
    <w:bookmarkStart w:id="45" w:name="scientific-topics"/>
    <w:p>
      <w:pPr>
        <w:pStyle w:val="Heading2"/>
      </w:pPr>
      <w:r>
        <w:t xml:space="preserve">Scientific Topics</w:t>
      </w:r>
    </w:p>
    <w:p>
      <w:pPr>
        <w:pStyle w:val="FirstParagraph"/>
      </w:pPr>
      <w:r>
        <w:t xml:space="preserve">The activity is based a</w:t>
      </w:r>
      <w:r>
        <w:t xml:space="preserve"> </w:t>
      </w:r>
      <w:hyperlink r:id="rId44">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bookmarkEnd w:id="45"/>
    <w:bookmarkStart w:id="46" w:name="outline"/>
    <w:p>
      <w:pPr>
        <w:pStyle w:val="Heading2"/>
      </w:pPr>
      <w:r>
        <w:t xml:space="preserve">Outline</w:t>
      </w:r>
    </w:p>
    <w:p>
      <w:pPr>
        <w:numPr>
          <w:ilvl w:val="0"/>
          <w:numId w:val="1005"/>
        </w:numPr>
      </w:pPr>
      <w:r>
        <w:t xml:space="preserve">Part 1: Background and Setup (30-45 minutes)</w:t>
      </w:r>
    </w:p>
    <w:p>
      <w:pPr>
        <w:numPr>
          <w:ilvl w:val="0"/>
          <w:numId w:val="1005"/>
        </w:numPr>
      </w:pPr>
      <w:r>
        <w:t xml:space="preserve">Part 2: Basic Pedigree Construction (20-30 minutes)</w:t>
      </w:r>
    </w:p>
    <w:p>
      <w:pPr>
        <w:numPr>
          <w:ilvl w:val="0"/>
          <w:numId w:val="1005"/>
        </w:numPr>
      </w:pPr>
      <w:r>
        <w:t xml:space="preserve">Part 3: Adding Diagnostic Information (15-20 minutes)</w:t>
      </w:r>
    </w:p>
    <w:p>
      <w:pPr>
        <w:numPr>
          <w:ilvl w:val="0"/>
          <w:numId w:val="1005"/>
        </w:numPr>
      </w:pPr>
      <w:r>
        <w:t xml:space="preserve">Part 4: Genotype Mapping and Analysis (30-40 minutes)</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2026-02-17T15:04:10Z</dcterms:created>
  <dcterms:modified xsi:type="dcterms:W3CDTF">2026-02-17T15:04:10Z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