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2026-06-03</w:t>
      </w:r>
    </w:p>
    <w:bookmarkStart w:id="21" w:name="overview"/>
    <w:p>
      <w:pPr>
        <w:pStyle w:val="Heading2"/>
      </w:pPr>
      <w:r>
        <w:t xml:space="preserve">Overview</w:t>
      </w:r>
    </w:p>
    <w:p>
      <w:pPr>
        <w:pStyle w:val="FirstParagraph"/>
      </w:pPr>
      <w:r>
        <w:t xml:space="preserve">This activity explores forensic uses of DNA barcoding and DNA reference datasets. Students will walk through using online genomic reference databases and interpret their results within the framework of a forensic case study.</w:t>
      </w:r>
    </w:p>
    <w:p>
      <w:pPr>
        <w:pStyle w:val="BodyText"/>
      </w:pPr>
      <w:r>
        <w:rPr>
          <w:b/>
          <w:bCs/>
        </w:rPr>
        <w:t xml:space="preserve">Duration:</w:t>
      </w:r>
      <w:r>
        <w:t xml:space="preserve"> </w:t>
      </w:r>
      <w:r>
        <w:t xml:space="preserve">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Use online tools to compare sequence in fasta format to DNA barcoding reference databases.</w:t>
      </w:r>
    </w:p>
    <w:p>
      <w:pPr>
        <w:numPr>
          <w:ilvl w:val="0"/>
          <w:numId w:val="1001"/>
        </w:numPr>
      </w:pPr>
      <w:r>
        <w:t xml:space="preserve">Explore species identification via DNA barcoding.</w:t>
      </w:r>
    </w:p>
    <w:p>
      <w:pPr>
        <w:numPr>
          <w:ilvl w:val="0"/>
          <w:numId w:val="1001"/>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r>
        <w:t xml:space="preserve">Google Doc</w:t>
      </w:r>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3"/>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3"/>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2026-06-03T17:31:08Z</dcterms:created>
  <dcterms:modified xsi:type="dcterms:W3CDTF">2026-06-03T17:31:08Z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