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2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Family Markers: Using Multiply-Affected Families to Identify Risk Genes</w:t>
      </w:r>
    </w:p>
    <w:p>
      <w:pPr>
        <w:pStyle w:val="Date"/>
      </w:pPr>
      <w:r>
        <w:t xml:space="preserve">2026-10-27</w:t>
      </w:r>
    </w:p>
    <w:p>
      <w:pPr>
        <w:pStyle w:val="FirstParagraph"/>
      </w:pPr>
      <w:r>
        <w:drawing>
          <wp:inline>
            <wp:extent cx="4800600" cy="2700337"/>
            <wp:effectExtent b="0" l="0" r="0" t="0"/>
            <wp:docPr descr="" title="" id="21" name="Picture"/>
            <a:graphic>
              <a:graphicData uri="http://schemas.openxmlformats.org/drawingml/2006/picture">
                <pic:pic>
                  <pic:nvPicPr>
                    <pic:cNvPr descr="family_markers_files/figure-docx//1dhP4CeUIJAqy3z7mKxuFzk8b8LhLrPBPHb1bpYpbk3c_g35ad481b335_0_0.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bookmarkStart w:id="24" w:name="overview"/>
    <w:p>
      <w:pPr>
        <w:pStyle w:val="Heading2"/>
      </w:pPr>
      <w:r>
        <w:t xml:space="preserve">Overview</w:t>
      </w:r>
    </w:p>
    <w:p>
      <w:pPr>
        <w:pStyle w:val="FirstParagraph"/>
      </w:pPr>
      <w:r>
        <w:t xml:space="preserve">This activity teaches students to interpret pedigree information and use bioinformatics tools (R) to build pedigrees for tracking disease traits in families. Students will work with real data from a bipolar disorder genetics study to understand how researchers understand risk genes using pedigrees.</w:t>
      </w:r>
    </w:p>
    <w:p>
      <w:pPr>
        <w:pStyle w:val="BodyText"/>
      </w:pPr>
      <w:r>
        <w:rPr>
          <w:b/>
          <w:bCs/>
        </w:rPr>
        <w:t xml:space="preserve">Duration:</w:t>
      </w:r>
      <w:r>
        <w:t xml:space="preserve"> </w:t>
      </w:r>
      <w:r>
        <w:t xml:space="preserve">Approximately 1.5 - 2 hours (estimated with community college students) (</w:t>
      </w:r>
      <w:hyperlink r:id="rId23">
        <w:r>
          <w:rPr>
            <w:rStyle w:val="Hyperlink"/>
          </w:rPr>
          <w:t xml:space="preserve">help us improve this estimate!</w:t>
        </w:r>
      </w:hyperlink>
      <w:r>
        <w:t xml:space="preserve">)</w:t>
      </w:r>
    </w:p>
    <w:bookmarkEnd w:id="24"/>
    <w:bookmarkStart w:id="26" w:name="learning-objectives"/>
    <w:p>
      <w:pPr>
        <w:pStyle w:val="Heading2"/>
      </w:pPr>
      <w:r>
        <w:t xml:space="preserve">Learning Objectives</w:t>
      </w:r>
    </w:p>
    <w:p>
      <w:pPr>
        <w:numPr>
          <w:ilvl w:val="0"/>
          <w:numId w:val="1001"/>
        </w:numPr>
      </w:pPr>
      <w:r>
        <w:t xml:space="preserve">Interpret pedigree information to determine the suitability of a DNA marker for tracking a disease trait in a family (see</w:t>
      </w:r>
      <w:r>
        <w:t xml:space="preserve"> </w:t>
      </w:r>
      <w:hyperlink r:id="rId25">
        <w:r>
          <w:rPr>
            <w:rStyle w:val="Hyperlink"/>
          </w:rPr>
          <w:t xml:space="preserve">GSA</w:t>
        </w:r>
      </w:hyperlink>
      <w:r>
        <w:t xml:space="preserve"> </w:t>
      </w:r>
      <w:r>
        <w:t xml:space="preserve">learning objectives).</w:t>
      </w:r>
    </w:p>
    <w:p>
      <w:pPr>
        <w:numPr>
          <w:ilvl w:val="0"/>
          <w:numId w:val="1001"/>
        </w:numPr>
      </w:pPr>
      <w:r>
        <w:t xml:space="preserve">Build a pedigree using bioinformatics tools (R).</w:t>
      </w:r>
    </w:p>
    <w:bookmarkEnd w:id="26"/>
    <w:bookmarkStart w:id="27" w:name="prerequisites"/>
    <w:p>
      <w:pPr>
        <w:pStyle w:val="Heading2"/>
      </w:pPr>
      <w:r>
        <w:t xml:space="preserve">Prerequisites</w:t>
      </w:r>
    </w:p>
    <w:p>
      <w:pPr>
        <w:pStyle w:val="FirstParagraph"/>
      </w:pPr>
      <w:r>
        <w:t xml:space="preserve">Students will benefit from some awareness of genetic inheritance models, pedigrees, and genetically-based medical conditions. We suggest this activity could accompany lectures that discuss these topics.</w:t>
      </w:r>
    </w:p>
    <w:bookmarkEnd w:id="27"/>
    <w:bookmarkStart w:id="34"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3">
              <w:r>
                <w:rPr>
                  <w:rStyle w:val="Hyperlink"/>
                </w:rPr>
                <w:t xml:space="preserve">Instructor survey</w:t>
              </w:r>
            </w:hyperlink>
          </w:p>
          <w:p>
            <w:pPr>
              <w:pStyle w:val="BodyText"/>
            </w:pPr>
            <w:hyperlink r:id="rId31">
              <w:r>
                <w:rPr>
                  <w:rStyle w:val="Hyperlink"/>
                </w:rPr>
                <w:t xml:space="preserve">Student pre-activity survey</w:t>
              </w:r>
            </w:hyperlink>
          </w:p>
          <w:p>
            <w:pPr>
              <w:pStyle w:val="BodyText"/>
            </w:pPr>
            <w:pPr>
              <w:spacing w:after="16"/>
            </w:pPr>
            <w:hyperlink r:id="rId32">
              <w:r>
                <w:rPr>
                  <w:rStyle w:val="Hyperlink"/>
                </w:rPr>
                <w:t xml:space="preserve">Student post-activity survey</w:t>
              </w:r>
            </w:hyperlink>
          </w:p>
          <w:p/>
        </w:tc>
      </w:tr>
    </w:tbl>
    <w:p>
      <w:pPr>
        <w:pStyle w:val="BodyText"/>
      </w:pPr>
      <w:r>
        <w:t xml:space="preserve">You can view our IRB approval</w:t>
      </w:r>
      <w:r>
        <w:t xml:space="preserve"> </w:t>
      </w:r>
      <w:hyperlink r:id="rId33">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4"/>
    <w:bookmarkStart w:id="45" w:name="materials"/>
    <w:p>
      <w:pPr>
        <w:pStyle w:val="Heading2"/>
      </w:pPr>
      <w:r>
        <w:t xml:space="preserve">Materials</w:t>
      </w:r>
    </w:p>
    <w:bookmarkStart w:id="41" w:name="student-activity"/>
    <w:p>
      <w:pPr>
        <w:pStyle w:val="Heading3"/>
      </w:pPr>
      <w:r>
        <w:t xml:space="preserve">Student Activity</w:t>
      </w:r>
    </w:p>
    <w:p>
      <w:pPr>
        <w:pStyle w:val="FirstParagraph"/>
      </w:pPr>
      <w:r>
        <w:t xml:space="preserve">You can use this module in several formats. Feel free to adapt to your needs!</w:t>
      </w:r>
    </w:p>
    <w:p>
      <w:pPr>
        <w:pStyle w:val="Compact"/>
        <w:numPr>
          <w:ilvl w:val="0"/>
          <w:numId w:val="1002"/>
        </w:numPr>
      </w:pPr>
      <w:hyperlink r:id="rId35">
        <w:r>
          <w:rPr>
            <w:rStyle w:val="Hyperlink"/>
          </w:rPr>
          <w:t xml:space="preserve">Web page</w:t>
        </w:r>
      </w:hyperlink>
    </w:p>
    <w:p>
      <w:pPr>
        <w:pStyle w:val="Compact"/>
        <w:numPr>
          <w:ilvl w:val="0"/>
          <w:numId w:val="1002"/>
        </w:numPr>
      </w:pPr>
      <w:hyperlink r:id="rId36">
        <w:r>
          <w:rPr>
            <w:rStyle w:val="Hyperlink"/>
          </w:rPr>
          <w:t xml:space="preserve">Quarto (qmd)</w:t>
        </w:r>
      </w:hyperlink>
    </w:p>
    <w:p>
      <w:pPr>
        <w:pStyle w:val="Compact"/>
        <w:numPr>
          <w:ilvl w:val="0"/>
          <w:numId w:val="1002"/>
        </w:numPr>
      </w:pPr>
      <w:hyperlink r:id="rId37">
        <w:r>
          <w:rPr>
            <w:rStyle w:val="Hyperlink"/>
          </w:rPr>
          <w:t xml:space="preserve">Word (docx)</w:t>
        </w:r>
      </w:hyperlink>
    </w:p>
    <w:p>
      <w:pPr>
        <w:pStyle w:val="Compact"/>
        <w:numPr>
          <w:ilvl w:val="0"/>
          <w:numId w:val="1002"/>
        </w:numPr>
      </w:pPr>
      <w:hyperlink r:id="rId38">
        <w:r>
          <w:rPr>
            <w:rStyle w:val="Hyperlink"/>
          </w:rPr>
          <w:t xml:space="preserve">Google Doc</w:t>
        </w:r>
      </w:hyperlink>
    </w:p>
    <w:p>
      <w:pPr>
        <w:pStyle w:val="FirstParagraph"/>
      </w:pPr>
      <w:r>
        <w:t xml:space="preserve">Students will need RStudio, data, and the R package:</w:t>
      </w:r>
      <w:r>
        <w:t xml:space="preserve"> </w:t>
      </w:r>
      <w:r>
        <w:rPr>
          <w:rStyle w:val="VerbatimChar"/>
        </w:rPr>
        <w:t xml:space="preserve">kinship2</w:t>
      </w:r>
      <w:r>
        <w:t xml:space="preserve">. This means either:</w:t>
      </w:r>
    </w:p>
    <w:p>
      <w:pPr>
        <w:pStyle w:val="Compact"/>
        <w:numPr>
          <w:ilvl w:val="0"/>
          <w:numId w:val="1003"/>
        </w:numPr>
      </w:pPr>
      <w:r>
        <w:t xml:space="preserve">A device with an internet connection for this activity as written (using Posit Cloud), access to the data hosted at https://genomicseducation.org/data/pedigree_data.csv.</w:t>
      </w:r>
    </w:p>
    <w:p>
      <w:pPr>
        <w:pStyle w:val="Compact"/>
        <w:numPr>
          <w:ilvl w:val="0"/>
          <w:numId w:val="1003"/>
        </w:numPr>
      </w:pPr>
      <w:r>
        <w:t xml:space="preserve">A local installation of R or RStudio, the ability to install the</w:t>
      </w:r>
      <w:r>
        <w:t xml:space="preserve"> </w:t>
      </w:r>
      <w:r>
        <w:rPr>
          <w:rStyle w:val="VerbatimChar"/>
        </w:rPr>
        <w:t xml:space="preserve">kinship2</w:t>
      </w:r>
      <w:r>
        <w:t xml:space="preserve"> </w:t>
      </w:r>
      <w:r>
        <w:t xml:space="preserve">package, and downloaded data from https://genomicseducation.org/data/pedigree_data.csv. Instructors are welcome to download the data and provide it via email or an LMS system if desired.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tip.png" id="4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Instructor Tip</w:t>
            </w:r>
          </w:p>
        </w:tc>
      </w:tr>
      <w:tr>
        <w:trPr>
          <w:cantSplit/>
        </w:trPr>
        <w:tc>
          <w:tcPr>
            <w:tcMar>
              <w:top w:w="108" w:type="dxa"/>
              <w:bottom w:w="108" w:type="dxa"/>
            </w:tcMar>
          </w:tcPr>
          <w:p>
            <w:pPr>
              <w:pStyle w:val="BodyText"/>
            </w:pPr>
            <w:pPr>
              <w:spacing w:before="16"/>
            </w:pPr>
            <w:r>
              <w:t xml:space="preserve">Instructors have mentioned this works well as an</w:t>
            </w:r>
            <w:r>
              <w:t xml:space="preserve"> </w:t>
            </w:r>
            <w:r>
              <w:rPr>
                <w:b/>
                <w:bCs/>
              </w:rPr>
              <w:t xml:space="preserve">in-class</w:t>
            </w:r>
            <w:r>
              <w:t xml:space="preserve"> </w:t>
            </w:r>
            <w:r>
              <w:t xml:space="preserve">activity, compared to an independent modality such as assigned homework.</w:t>
            </w:r>
          </w:p>
          <w:p>
            <w:pPr>
              <w:pStyle w:val="BodyText"/>
            </w:pPr>
            <w:pPr>
              <w:spacing w:after="16"/>
            </w:pPr>
            <w:r>
              <w:t xml:space="preserve">You might have students work in teams with one doing the code and the other following the instructions.</w:t>
            </w:r>
          </w:p>
          <w:p/>
        </w:tc>
      </w:tr>
    </w:tbl>
    <w:bookmarkEnd w:id="41"/>
    <w:bookmarkStart w:id="44" w:name="instructor-materials"/>
    <w:p>
      <w:pPr>
        <w:pStyle w:val="Heading3"/>
      </w:pPr>
      <w:r>
        <w:t xml:space="preserve">Instructor Materials</w:t>
      </w:r>
    </w:p>
    <w:p>
      <w:pPr>
        <w:pStyle w:val="FirstParagraph"/>
      </w:pPr>
      <w:r>
        <w:t xml:space="preserve">A Google Slides presentation is available for borrowing images</w:t>
      </w:r>
      <w:r>
        <w:t xml:space="preserve"> </w:t>
      </w:r>
      <w:hyperlink r:id="rId42">
        <w:r>
          <w:rPr>
            <w:rStyle w:val="Hyperlink"/>
          </w:rPr>
          <w:t xml:space="preserve">here</w:t>
        </w:r>
      </w:hyperlink>
      <w:r>
        <w:t xml:space="preserve">.</w:t>
      </w:r>
    </w:p>
    <w:p>
      <w:pPr>
        <w:pStyle w:val="BodyText"/>
      </w:pPr>
      <w:r>
        <w:t xml:space="preserve">An answer key is available</w:t>
      </w:r>
      <w:r>
        <w:t xml:space="preserve"> </w:t>
      </w:r>
      <w:hyperlink r:id="rId43">
        <w:r>
          <w:rPr>
            <w:rStyle w:val="Hyperlink"/>
          </w:rPr>
          <w:t xml:space="preserve">here</w:t>
        </w:r>
      </w:hyperlink>
      <w:r>
        <w:t xml:space="preserve">. Please message Ava Hoffman (ahoffma2 at fredhutch dot org) to get access.</w:t>
      </w:r>
    </w:p>
    <w:bookmarkEnd w:id="44"/>
    <w:bookmarkEnd w:id="45"/>
    <w:bookmarkStart w:id="52" w:name="scientific-topics"/>
    <w:p>
      <w:pPr>
        <w:pStyle w:val="Heading2"/>
      </w:pPr>
      <w:r>
        <w:t xml:space="preserve">Scientific Topics</w:t>
      </w:r>
    </w:p>
    <w:p>
      <w:pPr>
        <w:pStyle w:val="FirstParagraph"/>
      </w:pPr>
      <w:r>
        <w:t xml:space="preserve">The activity is based a</w:t>
      </w:r>
      <w:r>
        <w:t xml:space="preserve"> </w:t>
      </w:r>
      <w:hyperlink r:id="rId46">
        <w:r>
          <w:rPr>
            <w:rStyle w:val="Hyperlink"/>
          </w:rPr>
          <w:t xml:space="preserve">published research study</w:t>
        </w:r>
      </w:hyperlink>
      <w:r>
        <w:t xml:space="preserve"> </w:t>
      </w:r>
      <w:r>
        <w:t xml:space="preserve">“Rare variants implicate NMDA receptor signaling and cerebellar gene networks in risk for bipolar disorder.”</w:t>
      </w:r>
      <w:r>
        <w:t xml:space="preserve"> </w:t>
      </w:r>
      <w:r>
        <w:t xml:space="preserve">Students will gain exposure to the following:</w:t>
      </w:r>
    </w:p>
    <w:p>
      <w:pPr>
        <w:numPr>
          <w:ilvl w:val="0"/>
          <w:numId w:val="1004"/>
        </w:numPr>
      </w:pPr>
      <w:r>
        <w:t xml:space="preserve">Bipolar Disorder: Neuropsychiatric condition affecting ~1% of population, with 10-25% risk for children of affected parents</w:t>
      </w:r>
    </w:p>
    <w:p>
      <w:pPr>
        <w:numPr>
          <w:ilvl w:val="0"/>
          <w:numId w:val="1004"/>
        </w:numPr>
      </w:pPr>
      <w:r>
        <w:t xml:space="preserve">Cerebellum: Brain region containing 50% of neurons despite being 10% of brain volume; involved in motor coordination and emotional regulation</w:t>
      </w:r>
    </w:p>
    <w:p>
      <w:pPr>
        <w:numPr>
          <w:ilvl w:val="0"/>
          <w:numId w:val="1004"/>
        </w:numPr>
      </w:pPr>
      <w:r>
        <w:t xml:space="preserve">NMDA Receptors: Glutamate receptors crucial for memory and learning; blocked by substances like alcohol and ketamine</w:t>
      </w:r>
    </w:p>
    <w:p>
      <w:pPr>
        <w:numPr>
          <w:ilvl w:val="0"/>
          <w:numId w:val="1004"/>
        </w:numPr>
      </w:pPr>
      <w:r>
        <w:t xml:space="preserve">DAO Gene: D-amino acid oxidase gene identified as significantly associated with bipolar disorder risk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tip.png" id="48"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Instructor Tip</w:t>
            </w:r>
          </w:p>
        </w:tc>
      </w:tr>
      <w:tr>
        <w:trPr>
          <w:cantSplit/>
        </w:trPr>
        <w:tc>
          <w:tcPr>
            <w:tcMar>
              <w:top w:w="108" w:type="dxa"/>
              <w:bottom w:w="108" w:type="dxa"/>
            </w:tcMar>
          </w:tcPr>
          <w:p>
            <w:pPr>
              <w:pStyle w:val="BodyText"/>
            </w:pPr>
            <w:pPr>
              <w:spacing w:before="16" w:after="16"/>
            </w:pPr>
            <w:r>
              <w:t xml:space="preserve">Students might struggle with the question,</w:t>
            </w:r>
            <w:r>
              <w:t xml:space="preserve"> </w:t>
            </w:r>
            <w:r>
              <w:t xml:space="preserve">“Many individuals are missing diagnoses, genotypes, or both. Why do you think that might be the case?”</w:t>
            </w:r>
            <w:r>
              <w:t xml:space="preserve"> </w:t>
            </w:r>
            <w:r>
              <w:t xml:space="preserve">Encourage them to think critically and consider ethics here!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might also wish to include a discussion of genetic sex versus gender expression. There is growing awareness of the nonbinary nature of sex and gender, as well as respect for the importance in clinical settings of a person’s self-identified gender and sexuality</w:t>
            </w:r>
            <w:r>
              <w:t xml:space="preserve"> </w:t>
            </w:r>
            <w:r>
              <w:t xml:space="preserve">[1]</w:t>
            </w:r>
            <w:r>
              <w:t xml:space="preserve">. For example, more inclusive pedigrees might use shapes that align with gender expression, while noting biological sex (such as assigned female at birth, or AFAB) underneath.</w:t>
            </w:r>
          </w:p>
          <w:p/>
        </w:tc>
      </w:tr>
    </w:tbl>
    <w:bookmarkEnd w:id="52"/>
    <w:bookmarkStart w:id="57" w:name="outline"/>
    <w:p>
      <w:pPr>
        <w:pStyle w:val="Heading2"/>
      </w:pPr>
      <w:r>
        <w:t xml:space="preserve">Outline</w:t>
      </w:r>
    </w:p>
    <w:p>
      <w:pPr>
        <w:numPr>
          <w:ilvl w:val="0"/>
          <w:numId w:val="1005"/>
        </w:numPr>
      </w:pPr>
      <w:r>
        <w:t xml:space="preserve">Part 1: Background and Setup (20-25 minutes)</w:t>
      </w:r>
    </w:p>
    <w:p>
      <w:pPr>
        <w:numPr>
          <w:ilvl w:val="0"/>
          <w:numId w:val="1005"/>
        </w:numPr>
      </w:pPr>
      <w:r>
        <w:t xml:space="preserve">Part 2: Basic Pedigree Construction (20-25 minutes)</w:t>
      </w:r>
    </w:p>
    <w:p>
      <w:pPr>
        <w:numPr>
          <w:ilvl w:val="0"/>
          <w:numId w:val="1005"/>
        </w:numPr>
      </w:pPr>
      <w:r>
        <w:t xml:space="preserve">Part 3: Adding Diagnostic Information (15 minutes)</w:t>
      </w:r>
    </w:p>
    <w:p>
      <w:pPr>
        <w:numPr>
          <w:ilvl w:val="0"/>
          <w:numId w:val="1005"/>
        </w:numPr>
      </w:pPr>
      <w:r>
        <w:t xml:space="preserve">Part 4: Genotype Mapping and Analysis (30-40 minutes)</w:t>
      </w:r>
    </w:p>
    <w:bookmarkStart w:id="56" w:name="refs"/>
    <w:bookmarkStart w:id="55" w:name="ref-Bennett2022"/>
    <w:p>
      <w:pPr>
        <w:pStyle w:val="Bibliography"/>
      </w:pPr>
      <w:r>
        <w:t xml:space="preserve">[1]</w:t>
      </w:r>
      <w:r>
        <w:t xml:space="preserve"> </w:t>
      </w:r>
      <w:r>
        <w:t xml:space="preserve">	</w:t>
      </w:r>
      <w:r>
        <w:t xml:space="preserve">R. L. Bennett, K. S. French, R. G. Resta, and J. Austin,</w:t>
      </w:r>
      <w:r>
        <w:t xml:space="preserve"> </w:t>
      </w:r>
      <w:r>
        <w:t xml:space="preserve">“Practice resource-focused revision: Standardized pedigree nomenclature update centered on sex and gender inclusivity: A practice resource of the national society of genetic counselors,”</w:t>
      </w:r>
      <w:r>
        <w:t xml:space="preserve"> </w:t>
      </w:r>
      <w:r>
        <w:rPr>
          <w:i/>
          <w:iCs/>
        </w:rPr>
        <w:t xml:space="preserve">Journal of Genetic Counseling</w:t>
      </w:r>
      <w:r>
        <w:t xml:space="preserve">, vol. 31, no. 6, pp. 1238–1248, 2022, doi:</w:t>
      </w:r>
      <w:r>
        <w:t xml:space="preserve"> </w:t>
      </w:r>
      <w:hyperlink r:id="rId53">
        <w:r>
          <w:rPr>
            <w:rStyle w:val="Hyperlink"/>
          </w:rPr>
          <w:t xml:space="preserve">https://doi.org/10.1002/jgc4.1621</w:t>
        </w:r>
      </w:hyperlink>
      <w:r>
        <w:t xml:space="preserve">. Available:</w:t>
      </w:r>
      <w:r>
        <w:t xml:space="preserve"> </w:t>
      </w:r>
      <w:hyperlink r:id="rId54">
        <w:r>
          <w:rPr>
            <w:rStyle w:val="Hyperlink"/>
          </w:rPr>
          <w:t xml:space="preserve">https://onlinelibrary.wiley.com/doi/abs/10.1002/jgc4.1621</w:t>
        </w:r>
      </w:hyperlink>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hyperlink" Id="rId38" Target="https://docs.google.com/document/d/1PBGugINV2mOrq-knq5MXPOC-WcQSxnMA/edit?usp=sharing&amp;ouid=116032995747974603894&amp;rtpof=true&amp;sd=true" TargetMode="External" /><Relationship Type="http://schemas.openxmlformats.org/officeDocument/2006/relationships/hyperlink" Id="rId43" Target="https://docs.google.com/document/d/1kPMygksOgVh5n7UUkETU4vX1TCekbQWA/edit?usp=sharing" TargetMode="External" /><Relationship Type="http://schemas.openxmlformats.org/officeDocument/2006/relationships/hyperlink" Id="rId42" Target="https://docs.google.com/presentation/d/1dhP4CeUIJAqy3z7mKxuFzk8b8LhLrPBPHb1bpYpbk3c/edit?usp=sharing" TargetMode="External" /><Relationship Type="http://schemas.openxmlformats.org/officeDocument/2006/relationships/hyperlink" Id="rId53" Target="https://doi.org/10.1002/jgc4.1621" TargetMode="External" /><Relationship Type="http://schemas.openxmlformats.org/officeDocument/2006/relationships/hyperlink" Id="rId33" Target="https://drive.google.com/file/d/16Wx2CxDsmojfWacb2S1SHbYdI3kqBzFX/view?usp=sharing" TargetMode="External" /><Relationship Type="http://schemas.openxmlformats.org/officeDocument/2006/relationships/hyperlink" Id="rId23" Target="https://forms.gle/pgvLDMChG19pGjCq7" TargetMode="External" /><Relationship Type="http://schemas.openxmlformats.org/officeDocument/2006/relationships/hyperlink" Id="rId25" Target="https://genetics-gsa.org/education/genetics-learning-framework/" TargetMode="External" /><Relationship Type="http://schemas.openxmlformats.org/officeDocument/2006/relationships/hyperlink" Id="rId35" Target="https://genomicseducation.org/module/family_markers_student_guide.html" TargetMode="External" /><Relationship Type="http://schemas.openxmlformats.org/officeDocument/2006/relationships/hyperlink" Id="rId32" Target="https://genomicseducation.shinyapps.io/student_post_survey/" TargetMode="External" /><Relationship Type="http://schemas.openxmlformats.org/officeDocument/2006/relationships/hyperlink" Id="rId31" Target="https://genomicseducation.shinyapps.io/student_pre_survey/" TargetMode="External" /><Relationship Type="http://schemas.openxmlformats.org/officeDocument/2006/relationships/hyperlink" Id="rId36" Target="https://github.com/fhdsl/GEMs/blob/main/module/family_markers_student_guide.qmd" TargetMode="External" /><Relationship Type="http://schemas.openxmlformats.org/officeDocument/2006/relationships/hyperlink" Id="rId37" Target="https://github.com/fhdsl/GEMs/raw/main/docs/docx/module/family_markers_student_guide.docx" TargetMode="External" /><Relationship Type="http://schemas.openxmlformats.org/officeDocument/2006/relationships/hyperlink" Id="rId54" Target="https://onlinelibrary.wiley.com/doi/abs/10.1002/jgc4.1621" TargetMode="External" /><Relationship Type="http://schemas.openxmlformats.org/officeDocument/2006/relationships/hyperlink" Id="rId46" Target="https://www.nature.com/articles/s41380-022-01609-4" TargetMode="External" /></Relationships>
</file>

<file path=word/_rels/footnotes.xml.rels><?xml version="1.0" encoding="UTF-8"?><Relationships xmlns="http://schemas.openxmlformats.org/package/2006/relationships"><Relationship Type="http://schemas.openxmlformats.org/officeDocument/2006/relationships/hyperlink" Id="rId38" Target="https://docs.google.com/document/d/1PBGugINV2mOrq-knq5MXPOC-WcQSxnMA/edit?usp=sharing&amp;ouid=116032995747974603894&amp;rtpof=true&amp;sd=true" TargetMode="External" /><Relationship Type="http://schemas.openxmlformats.org/officeDocument/2006/relationships/hyperlink" Id="rId43" Target="https://docs.google.com/document/d/1kPMygksOgVh5n7UUkETU4vX1TCekbQWA/edit?usp=sharing" TargetMode="External" /><Relationship Type="http://schemas.openxmlformats.org/officeDocument/2006/relationships/hyperlink" Id="rId42" Target="https://docs.google.com/presentation/d/1dhP4CeUIJAqy3z7mKxuFzk8b8LhLrPBPHb1bpYpbk3c/edit?usp=sharing" TargetMode="External" /><Relationship Type="http://schemas.openxmlformats.org/officeDocument/2006/relationships/hyperlink" Id="rId53" Target="https://doi.org/10.1002/jgc4.1621" TargetMode="External" /><Relationship Type="http://schemas.openxmlformats.org/officeDocument/2006/relationships/hyperlink" Id="rId33" Target="https://drive.google.com/file/d/16Wx2CxDsmojfWacb2S1SHbYdI3kqBzFX/view?usp=sharing" TargetMode="External" /><Relationship Type="http://schemas.openxmlformats.org/officeDocument/2006/relationships/hyperlink" Id="rId23" Target="https://forms.gle/pgvLDMChG19pGjCq7" TargetMode="External" /><Relationship Type="http://schemas.openxmlformats.org/officeDocument/2006/relationships/hyperlink" Id="rId25" Target="https://genetics-gsa.org/education/genetics-learning-framework/" TargetMode="External" /><Relationship Type="http://schemas.openxmlformats.org/officeDocument/2006/relationships/hyperlink" Id="rId35" Target="https://genomicseducation.org/module/family_markers_student_guide.html" TargetMode="External" /><Relationship Type="http://schemas.openxmlformats.org/officeDocument/2006/relationships/hyperlink" Id="rId32" Target="https://genomicseducation.shinyapps.io/student_post_survey/" TargetMode="External" /><Relationship Type="http://schemas.openxmlformats.org/officeDocument/2006/relationships/hyperlink" Id="rId31" Target="https://genomicseducation.shinyapps.io/student_pre_survey/" TargetMode="External" /><Relationship Type="http://schemas.openxmlformats.org/officeDocument/2006/relationships/hyperlink" Id="rId36" Target="https://github.com/fhdsl/GEMs/blob/main/module/family_markers_student_guide.qmd" TargetMode="External" /><Relationship Type="http://schemas.openxmlformats.org/officeDocument/2006/relationships/hyperlink" Id="rId37" Target="https://github.com/fhdsl/GEMs/raw/main/docs/docx/module/family_markers_student_guide.docx" TargetMode="External" /><Relationship Type="http://schemas.openxmlformats.org/officeDocument/2006/relationships/hyperlink" Id="rId54" Target="https://onlinelibrary.wiley.com/doi/abs/10.1002/jgc4.1621" TargetMode="External" /><Relationship Type="http://schemas.openxmlformats.org/officeDocument/2006/relationships/hyperlink" Id="rId46" Target="https://www.nature.com/articles/s41380-022-0160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Markers: Using Multiply-Affected Families to Identify Risk Genes</dc:title>
  <dc:creator/>
  <cp:keywords/>
  <dcterms:created xsi:type="dcterms:W3CDTF">2026-10-27T23:05:47Z</dcterms:created>
  <dcterms:modified xsi:type="dcterms:W3CDTF">2026-10-27T23:05:47Z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