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Gut Check: AI and Genomic Literature</w:t>
      </w:r>
    </w:p>
    <w:p>
      <w:pPr>
        <w:pStyle w:val="Date"/>
      </w:pPr>
      <w:r>
        <w:t xml:space="preserve">2026-10-27</w:t>
      </w:r>
    </w:p>
    <w:bookmarkStart w:id="20" w:name="overview"/>
    <w:p>
      <w:pPr>
        <w:pStyle w:val="Heading2"/>
      </w:pPr>
      <w:r>
        <w:t xml:space="preserve">Overview</w:t>
      </w:r>
    </w:p>
    <w:p>
      <w:pPr>
        <w:pStyle w:val="FirstParagraph"/>
      </w:pPr>
      <w:r>
        <w:t xml:space="preserve">This short activity focused on the critical approach scientists must use to evaluate the validity of information, including information provided by Large Language Model (LLM) chat sources.</w:t>
      </w:r>
    </w:p>
    <w:p>
      <w:pPr>
        <w:pStyle w:val="BodyText"/>
      </w:pPr>
      <w:r>
        <w:rPr>
          <w:b/>
          <w:bCs/>
        </w:rPr>
        <w:t xml:space="preserve">Duration:</w:t>
      </w:r>
      <w:r>
        <w:t xml:space="preserve"> </w:t>
      </w:r>
      <w:r>
        <w:t xml:space="preserve">30 minutes - 1 hour.</w:t>
      </w:r>
    </w:p>
    <w:bookmarkEnd w:id="20"/>
    <w:bookmarkStart w:id="23" w:name="learning-objectives"/>
    <w:p>
      <w:pPr>
        <w:pStyle w:val="Heading2"/>
      </w:pPr>
      <w:r>
        <w:t xml:space="preserve">Learning Objectives</w:t>
      </w:r>
    </w:p>
    <w:p>
      <w:pPr>
        <w:numPr>
          <w:ilvl w:val="0"/>
          <w:numId w:val="1001"/>
        </w:numPr>
      </w:pPr>
      <w:r>
        <w:t xml:space="preserve">Identify and critique scientific issues relating to society or ethics (see</w:t>
      </w:r>
      <w:r>
        <w:t xml:space="preserve"> </w:t>
      </w:r>
      <w:hyperlink r:id="rId21">
        <w:r>
          <w:rPr>
            <w:rStyle w:val="Hyperlink"/>
          </w:rPr>
          <w:t xml:space="preserve">GSA</w:t>
        </w:r>
      </w:hyperlink>
      <w:r>
        <w:t xml:space="preserve"> </w:t>
      </w:r>
      <w:r>
        <w:t xml:space="preserve">core competencies).</w:t>
      </w:r>
    </w:p>
    <w:p>
      <w:pPr>
        <w:numPr>
          <w:ilvl w:val="0"/>
          <w:numId w:val="1001"/>
        </w:numPr>
      </w:pPr>
      <w:r>
        <w:t xml:space="preserve">Interpret the ethical, legal, medical, and social implications of biological data (see</w:t>
      </w:r>
      <w:r>
        <w:t xml:space="preserve"> </w:t>
      </w:r>
      <w:hyperlink r:id="rId22">
        <w:r>
          <w:rPr>
            <w:rStyle w:val="Hyperlink"/>
          </w:rPr>
          <w:t xml:space="preserve">NIBLSE</w:t>
        </w:r>
      </w:hyperlink>
      <w:r>
        <w:t xml:space="preserve"> </w:t>
      </w:r>
      <w:r>
        <w:t xml:space="preserve">core competencies).</w:t>
      </w:r>
    </w:p>
    <w:bookmarkEnd w:id="23"/>
    <w:bookmarkStart w:id="24" w:name="prerequisites"/>
    <w:p>
      <w:pPr>
        <w:pStyle w:val="Heading2"/>
      </w:pPr>
      <w:r>
        <w:t xml:space="preserve">Prerequisites</w:t>
      </w:r>
    </w:p>
    <w:p>
      <w:pPr>
        <w:pStyle w:val="FirstParagraph"/>
      </w:pPr>
      <w:r>
        <w:t xml:space="preserve">Students will benefit from some awareness of ethics in genomics and in research more generally. We suggest this activity could accompany lectures that discuss these topics.</w:t>
      </w:r>
    </w:p>
    <w:bookmarkEnd w:id="24"/>
    <w:bookmarkStart w:id="32" w:name="evaluation"/>
    <w:p>
      <w:pPr>
        <w:pStyle w:val="Heading2"/>
      </w:pPr>
      <w:r>
        <w:t xml:space="preserve">Evaluation</w:t>
      </w:r>
    </w:p>
    <w:p>
      <w:pPr>
        <w:pStyle w:val="FirstParagraph"/>
      </w:pPr>
      <w:r>
        <w:t xml:space="preserve">GEMs is an NIH-funded program. Part of our mission is understanding the impact of our materials. Please take the time to review our program as an instructor after this activity. We also appreciate you distributing our survey to students before and after they participate in GEMs content.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Help Us Improve!</w:t>
            </w:r>
          </w:p>
        </w:tc>
      </w:tr>
      <w:tr>
        <w:trPr>
          <w:cantSplit/>
        </w:trPr>
        <w:tc>
          <w:tcPr>
            <w:tcMar>
              <w:top w:w="108" w:type="dxa"/>
              <w:bottom w:w="108" w:type="dxa"/>
            </w:tcMar>
          </w:tcPr>
          <w:p>
            <w:pPr>
              <w:pStyle w:val="BodyText"/>
            </w:pPr>
            <w:pPr>
              <w:spacing w:before="16"/>
            </w:pPr>
            <w:hyperlink r:id="rId28">
              <w:r>
                <w:rPr>
                  <w:rStyle w:val="Hyperlink"/>
                </w:rPr>
                <w:t xml:space="preserve">Instructor experience survey</w:t>
              </w:r>
            </w:hyperlink>
          </w:p>
          <w:p>
            <w:pPr>
              <w:pStyle w:val="BodyText"/>
            </w:pPr>
            <w:hyperlink r:id="rId29">
              <w:r>
                <w:rPr>
                  <w:rStyle w:val="Hyperlink"/>
                </w:rPr>
                <w:t xml:space="preserve">Student pre-activity survey</w:t>
              </w:r>
            </w:hyperlink>
          </w:p>
          <w:p>
            <w:pPr>
              <w:pStyle w:val="BodyText"/>
            </w:pPr>
            <w:pPr>
              <w:spacing w:after="16"/>
            </w:pPr>
            <w:hyperlink r:id="rId30">
              <w:r>
                <w:rPr>
                  <w:rStyle w:val="Hyperlink"/>
                </w:rPr>
                <w:t xml:space="preserve">Student post-activity survey</w:t>
              </w:r>
            </w:hyperlink>
          </w:p>
          <w:p/>
        </w:tc>
      </w:tr>
    </w:tbl>
    <w:p>
      <w:pPr>
        <w:pStyle w:val="BodyText"/>
      </w:pPr>
      <w:r>
        <w:t xml:space="preserve">You can view our IRB approval</w:t>
      </w:r>
      <w:r>
        <w:t xml:space="preserve"> </w:t>
      </w:r>
      <w:hyperlink r:id="rId31">
        <w:r>
          <w:rPr>
            <w:rStyle w:val="Hyperlink"/>
          </w:rPr>
          <w:t xml:space="preserve">here</w:t>
        </w:r>
      </w:hyperlink>
      <w:r>
        <w:t xml:space="preserve">. Feel free to contact the GEMs team with any questions (gems</w:t>
      </w:r>
      <w:r>
        <w:t xml:space="preserve"> </w:t>
      </w:r>
      <w:r>
        <w:rPr>
          <w:b/>
          <w:bCs/>
        </w:rPr>
        <w:t xml:space="preserve">at</w:t>
      </w:r>
      <w:r>
        <w:t xml:space="preserve"> </w:t>
      </w:r>
      <w:r>
        <w:t xml:space="preserve">fredhutch</w:t>
      </w:r>
      <w:r>
        <w:t xml:space="preserve"> </w:t>
      </w:r>
      <w:r>
        <w:rPr>
          <w:b/>
          <w:bCs/>
        </w:rPr>
        <w:t xml:space="preserve">dot</w:t>
      </w:r>
      <w:r>
        <w:t xml:space="preserve"> </w:t>
      </w:r>
      <w:r>
        <w:t xml:space="preserve">org).</w:t>
      </w:r>
    </w:p>
    <w:bookmarkEnd w:id="32"/>
    <w:bookmarkStart w:id="44" w:name="materials"/>
    <w:p>
      <w:pPr>
        <w:pStyle w:val="Heading2"/>
      </w:pPr>
      <w:r>
        <w:t xml:space="preserve">Materials</w:t>
      </w:r>
    </w:p>
    <w:bookmarkStart w:id="42" w:name="student-activity"/>
    <w:p>
      <w:pPr>
        <w:pStyle w:val="Heading3"/>
      </w:pPr>
      <w:r>
        <w:t xml:space="preserve">Student Activity</w:t>
      </w:r>
    </w:p>
    <w:p>
      <w:pPr>
        <w:pStyle w:val="FirstParagraph"/>
      </w:pPr>
      <w:r>
        <w:t xml:space="preserve">You can use this module in several formats. Feel free to adapt to your needs!</w:t>
      </w:r>
    </w:p>
    <w:p>
      <w:pPr>
        <w:pStyle w:val="Compact"/>
        <w:numPr>
          <w:ilvl w:val="0"/>
          <w:numId w:val="1002"/>
        </w:numPr>
      </w:pPr>
      <w:hyperlink r:id="rId33">
        <w:r>
          <w:rPr>
            <w:rStyle w:val="Hyperlink"/>
          </w:rPr>
          <w:t xml:space="preserve">Web page</w:t>
        </w:r>
      </w:hyperlink>
    </w:p>
    <w:p>
      <w:pPr>
        <w:pStyle w:val="Compact"/>
        <w:numPr>
          <w:ilvl w:val="0"/>
          <w:numId w:val="1002"/>
        </w:numPr>
      </w:pPr>
      <w:hyperlink r:id="rId34">
        <w:r>
          <w:rPr>
            <w:rStyle w:val="Hyperlink"/>
          </w:rPr>
          <w:t xml:space="preserve">Quarto (qmd)</w:t>
        </w:r>
      </w:hyperlink>
    </w:p>
    <w:p>
      <w:pPr>
        <w:pStyle w:val="Compact"/>
        <w:numPr>
          <w:ilvl w:val="0"/>
          <w:numId w:val="1002"/>
        </w:numPr>
      </w:pPr>
      <w:hyperlink r:id="rId35">
        <w:r>
          <w:rPr>
            <w:rStyle w:val="Hyperlink"/>
          </w:rPr>
          <w:t xml:space="preserve">Word (docx)</w:t>
        </w:r>
      </w:hyperlink>
    </w:p>
    <w:p>
      <w:pPr>
        <w:pStyle w:val="Compact"/>
        <w:numPr>
          <w:ilvl w:val="0"/>
          <w:numId w:val="1002"/>
        </w:numPr>
      </w:pPr>
      <w:hyperlink r:id="rId36">
        <w:r>
          <w:rPr>
            <w:rStyle w:val="Hyperlink"/>
          </w:rPr>
          <w:t xml:space="preserve">Google Doc</w:t>
        </w:r>
      </w:hyperlink>
    </w:p>
    <w:p>
      <w:pPr>
        <w:pStyle w:val="FirstParagraph"/>
      </w:pPr>
      <w:r>
        <w:t xml:space="preserve">We also have the questions only in several formats:</w:t>
      </w:r>
    </w:p>
    <w:p>
      <w:pPr>
        <w:pStyle w:val="Compact"/>
        <w:numPr>
          <w:ilvl w:val="0"/>
          <w:numId w:val="1003"/>
        </w:numPr>
      </w:pPr>
      <w:hyperlink r:id="rId37">
        <w:r>
          <w:rPr>
            <w:rStyle w:val="Hyperlink"/>
          </w:rPr>
          <w:t xml:space="preserve">Quarto (qmd)</w:t>
        </w:r>
      </w:hyperlink>
    </w:p>
    <w:p>
      <w:pPr>
        <w:pStyle w:val="Compact"/>
        <w:numPr>
          <w:ilvl w:val="0"/>
          <w:numId w:val="1003"/>
        </w:numPr>
      </w:pPr>
      <w:hyperlink r:id="rId38">
        <w:r>
          <w:rPr>
            <w:rStyle w:val="Hyperlink"/>
          </w:rPr>
          <w:t xml:space="preserve">Word (docx)</w:t>
        </w:r>
      </w:hyperlink>
    </w:p>
    <w:p>
      <w:pPr>
        <w:pStyle w:val="Compact"/>
        <w:numPr>
          <w:ilvl w:val="0"/>
          <w:numId w:val="1003"/>
        </w:numPr>
      </w:pPr>
      <w:hyperlink r:id="rId36">
        <w:r>
          <w:rPr>
            <w:rStyle w:val="Hyperlink"/>
          </w:rPr>
          <w:t xml:space="preserve">Google Doc</w:t>
        </w:r>
      </w:hyperlink>
    </w:p>
    <w:p>
      <w:pPr>
        <w:pStyle w:val="FirstParagraph"/>
      </w:pPr>
      <w:r>
        <w:t xml:space="preserve">Students will need a device that accesses the internet.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opt/quarto/share/formats/docx/warning.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This content uses URLs</w:t>
            </w:r>
          </w:p>
        </w:tc>
      </w:tr>
      <w:tr>
        <w:trPr>
          <w:cantSplit/>
        </w:trPr>
        <w:tc>
          <w:tcPr>
            <w:tcMar>
              <w:top w:w="108" w:type="dxa"/>
              <w:bottom w:w="108" w:type="dxa"/>
            </w:tcMar>
          </w:tcPr>
          <w:p>
            <w:pPr>
              <w:pStyle w:val="BodyText"/>
            </w:pPr>
            <w:pPr>
              <w:spacing w:before="16" w:after="16"/>
            </w:pPr>
            <w:r>
              <w:t xml:space="preserve">We suggest confirming links to chatbots are still active prior to running this activity.</w:t>
            </w:r>
          </w:p>
          <w:p/>
        </w:tc>
      </w:tr>
    </w:tbl>
    <w:bookmarkEnd w:id="42"/>
    <w:bookmarkStart w:id="43" w:name="instructor-materials"/>
    <w:p>
      <w:pPr>
        <w:pStyle w:val="Heading3"/>
      </w:pPr>
      <w:r>
        <w:t xml:space="preserve">Instructor Materials</w:t>
      </w:r>
    </w:p>
    <w:p>
      <w:pPr>
        <w:pStyle w:val="FirstParagraph"/>
      </w:pPr>
      <w:r>
        <w:t xml:space="preserve">An answer key is available</w:t>
      </w:r>
      <w:r>
        <w:t xml:space="preserve"> </w:t>
      </w:r>
      <w:hyperlink r:id="rId36">
        <w:r>
          <w:rPr>
            <w:rStyle w:val="Hyperlink"/>
          </w:rPr>
          <w:t xml:space="preserve">here</w:t>
        </w:r>
      </w:hyperlink>
      <w:r>
        <w:t xml:space="preserve">. Please message Ava Hoffman (ahoffma2 at fredhutch dot org) to get access.</w:t>
      </w:r>
    </w:p>
    <w:bookmarkEnd w:id="43"/>
    <w:bookmarkEnd w:id="44"/>
    <w:bookmarkStart w:id="46" w:name="scientific-topics"/>
    <w:p>
      <w:pPr>
        <w:pStyle w:val="Heading2"/>
      </w:pPr>
      <w:r>
        <w:t xml:space="preserve">Scientific Topics</w:t>
      </w:r>
    </w:p>
    <w:p>
      <w:pPr>
        <w:pStyle w:val="FirstParagraph"/>
      </w:pPr>
      <w:r>
        <w:t xml:space="preserve">Some of the questions in this activity are based on an online resource called</w:t>
      </w:r>
      <w:r>
        <w:t xml:space="preserve"> </w:t>
      </w:r>
      <w:hyperlink r:id="rId45">
        <w:r>
          <w:rPr>
            <w:rStyle w:val="Hyperlink"/>
          </w:rPr>
          <w:t xml:space="preserve">DataWISE</w:t>
        </w:r>
      </w:hyperlink>
      <w:r>
        <w:t xml:space="preserve">, produced by the National Center for Science Education. DataWISE is a tool that scaffolds key science practices and media literacy skills to guide students in critical analysis of data-based claims. We think the DataWISE worksheet is a fantastic framework/activity for science literacy and we encourage you to check it out!</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9" Target="media/rId39.png" /><Relationship Type="http://schemas.openxmlformats.org/officeDocument/2006/relationships/hyperlink" Id="rId36" Target="" TargetMode="External" /><Relationship Type="http://schemas.openxmlformats.org/officeDocument/2006/relationships/hyperlink" Id="rId31" Target="https://drive.google.com/file/d/16Wx2CxDsmojfWacb2S1SHbYdI3kqBzFX/view?usp=sharing" TargetMode="External" /><Relationship Type="http://schemas.openxmlformats.org/officeDocument/2006/relationships/hyperlink" Id="rId28" Target="https://forms.gle/QExaV8pQ9tWpaiED9" TargetMode="External" /><Relationship Type="http://schemas.openxmlformats.org/officeDocument/2006/relationships/hyperlink" Id="rId21" Target="https://genetics-gsa.org/education/genetics-learning-framework/" TargetMode="External" /><Relationship Type="http://schemas.openxmlformats.org/officeDocument/2006/relationships/hyperlink" Id="rId33" Target="https://genomicseducation.org/module/AI_genomics_student_guide.html" TargetMode="External" /><Relationship Type="http://schemas.openxmlformats.org/officeDocument/2006/relationships/hyperlink" Id="rId30" Target="https://genomicseducation.shinyapps.io/student_post_survey/" TargetMode="External" /><Relationship Type="http://schemas.openxmlformats.org/officeDocument/2006/relationships/hyperlink" Id="rId29" Target="https://genomicseducation.shinyapps.io/student_pre_survey/" TargetMode="External" /><Relationship Type="http://schemas.openxmlformats.org/officeDocument/2006/relationships/hyperlink" Id="rId37" Target="https://github.com/fhdsl/GEMs/blob/main/module/AI_genomics_questions_only.qmd" TargetMode="External" /><Relationship Type="http://schemas.openxmlformats.org/officeDocument/2006/relationships/hyperlink" Id="rId34" Target="https://github.com/fhdsl/GEMs/blob/main/module/AI_genomics_student_guide.qmd" TargetMode="External" /><Relationship Type="http://schemas.openxmlformats.org/officeDocument/2006/relationships/hyperlink" Id="rId38" Target="https://github.com/fhdsl/GEMs/raw/main/docs/docx/module/AI_genomics_questions_only.docx" TargetMode="External" /><Relationship Type="http://schemas.openxmlformats.org/officeDocument/2006/relationships/hyperlink" Id="rId35" Target="https://github.com/fhdsl/GEMs/raw/main/docs/docx/module/AI_genomics_student_guide.docx" TargetMode="External" /><Relationship Type="http://schemas.openxmlformats.org/officeDocument/2006/relationships/hyperlink" Id="rId45" Target="https://ncse.ngo/datawise" TargetMode="External" /><Relationship Type="http://schemas.openxmlformats.org/officeDocument/2006/relationships/hyperlink" Id="rId22" Target="https://qubeshub.org/community/groups/niblse/core_competencies" TargetMode="External" /></Relationships>
</file>

<file path=word/_rels/footnotes.xml.rels><?xml version="1.0" encoding="UTF-8"?><Relationships xmlns="http://schemas.openxmlformats.org/package/2006/relationships"><Relationship Type="http://schemas.openxmlformats.org/officeDocument/2006/relationships/hyperlink" Id="rId36" Target="" TargetMode="External" /><Relationship Type="http://schemas.openxmlformats.org/officeDocument/2006/relationships/hyperlink" Id="rId31" Target="https://drive.google.com/file/d/16Wx2CxDsmojfWacb2S1SHbYdI3kqBzFX/view?usp=sharing" TargetMode="External" /><Relationship Type="http://schemas.openxmlformats.org/officeDocument/2006/relationships/hyperlink" Id="rId28" Target="https://forms.gle/QExaV8pQ9tWpaiED9" TargetMode="External" /><Relationship Type="http://schemas.openxmlformats.org/officeDocument/2006/relationships/hyperlink" Id="rId21" Target="https://genetics-gsa.org/education/genetics-learning-framework/" TargetMode="External" /><Relationship Type="http://schemas.openxmlformats.org/officeDocument/2006/relationships/hyperlink" Id="rId33" Target="https://genomicseducation.org/module/AI_genomics_student_guide.html" TargetMode="External" /><Relationship Type="http://schemas.openxmlformats.org/officeDocument/2006/relationships/hyperlink" Id="rId30" Target="https://genomicseducation.shinyapps.io/student_post_survey/" TargetMode="External" /><Relationship Type="http://schemas.openxmlformats.org/officeDocument/2006/relationships/hyperlink" Id="rId29" Target="https://genomicseducation.shinyapps.io/student_pre_survey/" TargetMode="External" /><Relationship Type="http://schemas.openxmlformats.org/officeDocument/2006/relationships/hyperlink" Id="rId37" Target="https://github.com/fhdsl/GEMs/blob/main/module/AI_genomics_questions_only.qmd" TargetMode="External" /><Relationship Type="http://schemas.openxmlformats.org/officeDocument/2006/relationships/hyperlink" Id="rId34" Target="https://github.com/fhdsl/GEMs/blob/main/module/AI_genomics_student_guide.qmd" TargetMode="External" /><Relationship Type="http://schemas.openxmlformats.org/officeDocument/2006/relationships/hyperlink" Id="rId38" Target="https://github.com/fhdsl/GEMs/raw/main/docs/docx/module/AI_genomics_questions_only.docx" TargetMode="External" /><Relationship Type="http://schemas.openxmlformats.org/officeDocument/2006/relationships/hyperlink" Id="rId35" Target="https://github.com/fhdsl/GEMs/raw/main/docs/docx/module/AI_genomics_student_guide.docx" TargetMode="External" /><Relationship Type="http://schemas.openxmlformats.org/officeDocument/2006/relationships/hyperlink" Id="rId45" Target="https://ncse.ngo/datawise" TargetMode="External" /><Relationship Type="http://schemas.openxmlformats.org/officeDocument/2006/relationships/hyperlink" Id="rId22" Target="https://qubeshub.org/community/groups/niblse/core_competenc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Gut Check: AI and Genomic Literature</dc:title>
  <dc:creator/>
  <cp:keywords/>
  <dcterms:created xsi:type="dcterms:W3CDTF">2026-10-27T22:56:41Z</dcterms:created>
  <dcterms:modified xsi:type="dcterms:W3CDTF">2026-10-27T22:56:41Z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2026-10-27</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