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3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Forensic Case Files: DNA Barcoding</w:t>
        </w:r>
      </w:hyperlink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Gut Check: AI and Genomic Literature</w:t>
        </w:r>
      </w:hyperlink>
    </w:p>
    <w:bookmarkEnd w:id="23"/>
    <w:bookmarkStart w:id="30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DNA Barcoding: Forensic Investigators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Population Genetics: Fish Pond Simulator</w:t>
        </w:r>
      </w:hyperlink>
    </w:p>
    <w:bookmarkEnd w:id="30"/>
    <w:bookmarkStart w:id="32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Differential Expression and the Mouse Gut-Brain Axis</w:t>
        </w:r>
      </w:hyperlink>
    </w:p>
    <w:bookmarkEnd w:id="32"/>
    <w:bookmarkStart w:id="34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Exam Physiology: Wearable Data and Stress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2026-10-27T22:53:22Z</dcterms:created>
  <dcterms:modified xsi:type="dcterms:W3CDTF">2026-10-27T22:53:22Z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