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DNA Barcoding</w:t>
      </w:r>
    </w:p>
    <w:bookmarkStart w:id="21" w:name="overview"/>
    <w:p>
      <w:pPr>
        <w:pStyle w:val="Heading2"/>
      </w:pPr>
      <w:r>
        <w:t xml:space="preserve">Overview</w:t>
      </w:r>
    </w:p>
    <w:p>
      <w:pPr>
        <w:pStyle w:val="FirstParagraph"/>
      </w:pPr>
      <w:r>
        <w:t xml:space="preserve">This activity explores forensic uses of DNA barcoding and DNA reference datasets. Students will walk through using online genomic reference databases and interpret their results within the framework of a forensic case study.</w:t>
      </w:r>
    </w:p>
    <w:p>
      <w:pPr>
        <w:pStyle w:val="BodyText"/>
      </w:pPr>
      <w:r>
        <w:rPr>
          <w:b/>
          <w:bCs/>
        </w:rPr>
        <w:t xml:space="preserve">Duration:</w:t>
      </w:r>
      <w:r>
        <w:t xml:space="preserve"> </w:t>
      </w:r>
      <w:r>
        <w:t xml:space="preserve">Approximately 1 hour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Use online tools to compare sequence in fasta format to DNA barcoding reference databases.</w:t>
      </w:r>
    </w:p>
    <w:p>
      <w:pPr>
        <w:numPr>
          <w:ilvl w:val="0"/>
          <w:numId w:val="1001"/>
        </w:numPr>
      </w:pPr>
      <w:r>
        <w:t xml:space="preserve">Explore species identification via DNA barcoding.</w:t>
      </w:r>
    </w:p>
    <w:p>
      <w:pPr>
        <w:numPr>
          <w:ilvl w:val="0"/>
          <w:numId w:val="1001"/>
        </w:numPr>
      </w:pPr>
      <w:r>
        <w:t xml:space="preserve">Interpret DNA barcoding results within the framework of a forensic DNA investigation.</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8" w:name="materials"/>
    <w:p>
      <w:pPr>
        <w:pStyle w:val="Heading2"/>
      </w:pPr>
      <w:r>
        <w:t xml:space="preserve">Materials</w:t>
      </w:r>
    </w:p>
    <w:bookmarkStart w:id="36"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r>
        <w:t xml:space="preserve">Google Doc</w:t>
      </w:r>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the BOLD website:</w:t>
      </w:r>
      <w:r>
        <w:t xml:space="preserve"> </w:t>
      </w:r>
      <w:hyperlink r:id="rId33">
        <w:r>
          <w:rPr>
            <w:rStyle w:val="Hyperlink"/>
          </w:rPr>
          <w:t xml:space="preserve">https://id.boldsystems.org/</w:t>
        </w:r>
      </w:hyperlink>
      <w:r>
        <w:t xml:space="preserve">.</w:t>
      </w:r>
    </w:p>
    <w:p>
      <w:pPr>
        <w:pStyle w:val="Compact"/>
        <w:numPr>
          <w:ilvl w:val="0"/>
          <w:numId w:val="1003"/>
        </w:numPr>
      </w:pPr>
      <w:r>
        <w:t xml:space="preserve">Access to BLASTn on the NCBI website:</w:t>
      </w:r>
      <w:r>
        <w:t xml:space="preserve"> </w:t>
      </w:r>
      <w:hyperlink r:id="rId34">
        <w:r>
          <w:rPr>
            <w:rStyle w:val="Hyperlink"/>
          </w:rPr>
          <w:t xml:space="preserve">https://blast.ncbi.nlm.nih.gov/Blast.cgi</w:t>
        </w:r>
      </w:hyperlink>
    </w:p>
    <w:p>
      <w:pPr>
        <w:pStyle w:val="Compact"/>
        <w:numPr>
          <w:ilvl w:val="0"/>
          <w:numId w:val="1003"/>
        </w:numPr>
      </w:pPr>
      <w:r>
        <w:t xml:space="preserve">Ability to download toy data hosted at:</w:t>
      </w:r>
      <w:r>
        <w:t xml:space="preserve"> </w:t>
      </w:r>
      <w:hyperlink r:id="rId35">
        <w:r>
          <w:rPr>
            <w:rStyle w:val="Hyperlink"/>
          </w:rPr>
          <w:t xml:space="preserve">https://genomicseducation.org/data/barcoding_devils_claw_rbcL.fasta</w:t>
        </w:r>
      </w:hyperlink>
    </w:p>
    <w:bookmarkEnd w:id="36"/>
    <w:bookmarkStart w:id="37" w:name="instructor-materials"/>
    <w:p>
      <w:pPr>
        <w:pStyle w:val="Heading3"/>
      </w:pPr>
      <w:r>
        <w:t xml:space="preserve">Instructor Materials</w:t>
      </w:r>
    </w:p>
    <w:bookmarkEnd w:id="37"/>
    <w:bookmarkEnd w:id="38"/>
    <w:bookmarkStart w:id="39" w:name="scientific-topics"/>
    <w:p>
      <w:pPr>
        <w:pStyle w:val="Heading2"/>
      </w:pPr>
      <w:r>
        <w:t xml:space="preserve">Scientific Topics</w:t>
      </w:r>
    </w:p>
    <w:bookmarkEnd w:id="39"/>
    <w:bookmarkStart w:id="40" w:name="outline"/>
    <w:p>
      <w:pPr>
        <w:pStyle w:val="Heading2"/>
      </w:pPr>
      <w:r>
        <w:t xml:space="preserve">Outline</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dc:title>
  <dc:creator/>
  <cp:keywords/>
  <dcterms:created xsi:type="dcterms:W3CDTF">2026-06-02T00:17:58Z</dcterms:created>
  <dcterms:modified xsi:type="dcterms:W3CDTF">2026-06-02T00:17:58Z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