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Differential Expression and the Mouse Gut-Brain Axis</w:t>
      </w:r>
    </w:p>
    <w:p>
      <w:pPr>
        <w:pStyle w:val="Date"/>
      </w:pPr>
      <w:r>
        <w:t xml:space="preserve">2026-10-26</w:t>
      </w:r>
    </w:p>
    <w:bookmarkStart w:id="21" w:name="overview"/>
    <w:p>
      <w:pPr>
        <w:pStyle w:val="Heading2"/>
      </w:pPr>
      <w:r>
        <w:t xml:space="preserve">Overview</w:t>
      </w:r>
    </w:p>
    <w:p>
      <w:pPr>
        <w:pStyle w:val="FirstParagraph"/>
      </w:pPr>
      <w:r>
        <w:t xml:space="preserve">This module introduces students to differential expression analyses using the R programming language. Previous programming experience is helpful but not necessary. Students will work with real data from a mouse RNA-seq study to explore how the gut-brain axis might impact symptoms in Autism Spectrum Disorder.</w:t>
      </w:r>
    </w:p>
    <w:p>
      <w:pPr>
        <w:pStyle w:val="BodyText"/>
      </w:pPr>
      <w:r>
        <w:t xml:space="preserve">There are two options for this module:</w:t>
      </w:r>
    </w:p>
    <w:p>
      <w:pPr>
        <w:numPr>
          <w:ilvl w:val="0"/>
          <w:numId w:val="1001"/>
        </w:numPr>
      </w:pPr>
      <w:r>
        <w:t xml:space="preserve">a companion and expansion to the C-MOOR RNA-seq miniCURE. This module adds an additional RNA-seq dataset that is suitable for an independent research project.</w:t>
      </w:r>
    </w:p>
    <w:p>
      <w:pPr>
        <w:numPr>
          <w:ilvl w:val="0"/>
          <w:numId w:val="1001"/>
        </w:numPr>
      </w:pPr>
      <w:r>
        <w:t xml:space="preserve">a standalone activity that fits into a single laboratory session.</w:t>
      </w:r>
    </w:p>
    <w:p>
      <w:pPr>
        <w:pStyle w:val="FirstParagraph"/>
      </w:pPr>
      <w:r>
        <w:rPr>
          <w:b/>
          <w:bCs/>
        </w:rPr>
        <w:t xml:space="preserve">Duration:</w:t>
      </w:r>
      <w:r>
        <w:t xml:space="preserve"> </w:t>
      </w:r>
      <w:r>
        <w:t xml:space="preserve">miniCURE: Three lab periods; standalone activity: 1-2 hours (</w:t>
      </w:r>
      <w:hyperlink r:id="rId20">
        <w:r>
          <w:rPr>
            <w:rStyle w:val="Hyperlink"/>
          </w:rPr>
          <w:t xml:space="preserve">help us improve this estimate!</w:t>
        </w:r>
      </w:hyperlink>
      <w:r>
        <w:t xml:space="preserve">)</w:t>
      </w:r>
    </w:p>
    <w:bookmarkEnd w:id="21"/>
    <w:bookmarkStart w:id="28"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tip.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0">
              <w:r>
                <w:rPr>
                  <w:rStyle w:val="Hyperlink"/>
                </w:rPr>
                <w:t xml:space="preserve">Instructor survey</w:t>
              </w:r>
            </w:hyperlink>
          </w:p>
          <w:p>
            <w:pPr>
              <w:pStyle w:val="BodyText"/>
            </w:pPr>
            <w:hyperlink r:id="rId25">
              <w:r>
                <w:rPr>
                  <w:rStyle w:val="Hyperlink"/>
                </w:rPr>
                <w:t xml:space="preserve">Student pre-activity survey</w:t>
              </w:r>
            </w:hyperlink>
          </w:p>
          <w:p>
            <w:pPr>
              <w:pStyle w:val="BodyText"/>
            </w:pPr>
            <w:pPr>
              <w:spacing w:after="16"/>
            </w:pPr>
            <w:hyperlink r:id="rId26">
              <w:r>
                <w:rPr>
                  <w:rStyle w:val="Hyperlink"/>
                </w:rPr>
                <w:t xml:space="preserve">Student post-activity survey</w:t>
              </w:r>
            </w:hyperlink>
          </w:p>
          <w:p/>
        </w:tc>
      </w:tr>
    </w:tbl>
    <w:p>
      <w:pPr>
        <w:pStyle w:val="BodyText"/>
      </w:pPr>
      <w:r>
        <w:t xml:space="preserve">You can view our IRB approval</w:t>
      </w:r>
      <w:r>
        <w:t xml:space="preserve"> </w:t>
      </w:r>
      <w:hyperlink r:id="rId27">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28"/>
    <w:bookmarkStart w:id="29" w:name="learning-objectives"/>
    <w:p>
      <w:pPr>
        <w:pStyle w:val="Heading2"/>
      </w:pPr>
      <w:r>
        <w:t xml:space="preserve">Learning Objectives</w:t>
      </w:r>
    </w:p>
    <w:p>
      <w:pPr>
        <w:numPr>
          <w:ilvl w:val="0"/>
          <w:numId w:val="1002"/>
        </w:numPr>
      </w:pPr>
      <w:r>
        <w:t xml:space="preserve">Explore differential expression data in mice.</w:t>
      </w:r>
    </w:p>
    <w:p>
      <w:pPr>
        <w:numPr>
          <w:ilvl w:val="0"/>
          <w:numId w:val="1002"/>
        </w:numPr>
      </w:pPr>
      <w:r>
        <w:t xml:space="preserve">Identify genes that are differentially expressed in an RNA-seq dataset.</w:t>
      </w:r>
    </w:p>
    <w:p>
      <w:pPr>
        <w:numPr>
          <w:ilvl w:val="0"/>
          <w:numId w:val="1002"/>
        </w:numPr>
      </w:pPr>
      <w:r>
        <w:t xml:space="preserve">(Optional) Formulate and test a hypothesis about differential expression of genes as a result of the gut-brain axis.</w:t>
      </w:r>
    </w:p>
    <w:bookmarkEnd w:id="29"/>
    <w:bookmarkStart w:id="30" w:name="prerequisites"/>
    <w:p>
      <w:pPr>
        <w:pStyle w:val="Heading2"/>
      </w:pPr>
      <w:r>
        <w:t xml:space="preserve">Prerequisites</w:t>
      </w:r>
    </w:p>
    <w:p>
      <w:pPr>
        <w:pStyle w:val="FirstParagraph"/>
      </w:pPr>
      <w:r>
        <w:t xml:space="preserve">Students will benefit from some understanding of the Central Dogma and genetically-based trait expression. They should be aware of mice as a model organism and be comfortable using online genomic databases. We suggest this activity could accompany lectures that discuss these topics.</w:t>
      </w:r>
    </w:p>
    <w:p>
      <w:pPr>
        <w:pStyle w:val="BodyText"/>
      </w:pPr>
      <w:r>
        <w:t xml:space="preserve">This activity also requires plotting and an understanding of data visualization.</w:t>
      </w:r>
    </w:p>
    <w:bookmarkEnd w:id="30"/>
    <w:bookmarkStart w:id="50" w:name="student-materials"/>
    <w:p>
      <w:pPr>
        <w:pStyle w:val="Heading2"/>
      </w:pPr>
      <w:r>
        <w:t xml:space="preserve">Student Materials</w:t>
      </w:r>
    </w:p>
    <w:p>
      <w:pPr>
        <w:pStyle w:val="FirstParagraph"/>
      </w:pPr>
      <w:r>
        <w:t xml:space="preserve">You can use this module in several formats. Feel free to adapt to your needs!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Student Activity</w:t>
            </w:r>
          </w:p>
        </w:tc>
      </w:tr>
      <w:tr>
        <w:trPr>
          <w:cantSplit/>
        </w:trPr>
        <w:tc>
          <w:tcPr>
            <w:tcMar>
              <w:top w:w="108" w:type="dxa"/>
              <w:bottom w:w="108" w:type="dxa"/>
            </w:tcMar>
          </w:tcPr>
          <w:p>
            <w:pPr>
              <w:pStyle w:val="BodyText"/>
            </w:pPr>
            <w:pPr>
              <w:spacing w:before="16"/>
            </w:pPr>
            <w:r>
              <w:t xml:space="preserve">Standalone R student activity:</w:t>
            </w:r>
          </w:p>
          <w:p>
            <w:pPr>
              <w:pStyle w:val="Compact"/>
              <w:numPr>
                <w:ilvl w:val="0"/>
                <w:numId w:val="1003"/>
              </w:numPr>
            </w:pPr>
            <w:hyperlink r:id="rId31">
              <w:r>
                <w:rPr>
                  <w:rStyle w:val="Hyperlink"/>
                </w:rPr>
                <w:t xml:space="preserve">Web page</w:t>
              </w:r>
            </w:hyperlink>
          </w:p>
          <w:p>
            <w:pPr>
              <w:pStyle w:val="Compact"/>
              <w:numPr>
                <w:ilvl w:val="0"/>
                <w:numId w:val="1003"/>
              </w:numPr>
            </w:pPr>
            <w:hyperlink r:id="rId32">
              <w:r>
                <w:rPr>
                  <w:rStyle w:val="Hyperlink"/>
                </w:rPr>
                <w:t xml:space="preserve">Quarto (qmd)</w:t>
              </w:r>
            </w:hyperlink>
          </w:p>
          <w:p>
            <w:pPr>
              <w:pStyle w:val="Compact"/>
              <w:numPr>
                <w:ilvl w:val="0"/>
                <w:numId w:val="1003"/>
              </w:numPr>
            </w:pPr>
            <w:hyperlink r:id="rId33">
              <w:r>
                <w:rPr>
                  <w:rStyle w:val="Hyperlink"/>
                </w:rPr>
                <w:t xml:space="preserve">Word (docx)</w:t>
              </w:r>
            </w:hyperlink>
          </w:p>
          <w:p>
            <w:pPr>
              <w:pStyle w:val="Compact"/>
              <w:numPr>
                <w:ilvl w:val="0"/>
                <w:numId w:val="1003"/>
              </w:numPr>
            </w:pPr>
            <w:hyperlink r:id="rId34">
              <w:r>
                <w:rPr>
                  <w:rStyle w:val="Hyperlink"/>
                </w:rPr>
                <w:t xml:space="preserve">Google Doc</w:t>
              </w:r>
            </w:hyperlink>
          </w:p>
          <w:p>
            <w:pPr>
              <w:pStyle w:val="FirstParagraph"/>
            </w:pPr>
            <w:r>
              <w:t xml:space="preserve">Students can use any of the following datasets to compare gene expression:</w:t>
            </w:r>
          </w:p>
          <w:p>
            <w:pPr>
              <w:pStyle w:val="Compact"/>
              <w:numPr>
                <w:ilvl w:val="0"/>
                <w:numId w:val="1004"/>
              </w:numPr>
            </w:pPr>
            <w:hyperlink r:id="rId35">
              <w:r>
                <w:rPr>
                  <w:rStyle w:val="Hyperlink"/>
                </w:rPr>
                <w:t xml:space="preserve">Sample metadata</w:t>
              </w:r>
            </w:hyperlink>
          </w:p>
          <w:p>
            <w:pPr>
              <w:pStyle w:val="Compact"/>
              <w:numPr>
                <w:ilvl w:val="0"/>
                <w:numId w:val="1004"/>
              </w:numPr>
            </w:pPr>
            <w:hyperlink r:id="rId36">
              <w:r>
                <w:rPr>
                  <w:rStyle w:val="Hyperlink"/>
                </w:rPr>
                <w:t xml:space="preserve">Gene expression count data for all control-type mice</w:t>
              </w:r>
            </w:hyperlink>
          </w:p>
          <w:p>
            <w:pPr>
              <w:pStyle w:val="Compact"/>
              <w:numPr>
                <w:ilvl w:val="0"/>
                <w:numId w:val="1004"/>
              </w:numPr>
            </w:pPr>
            <w:hyperlink r:id="rId37">
              <w:r>
                <w:rPr>
                  <w:rStyle w:val="Hyperlink"/>
                </w:rPr>
                <w:t xml:space="preserve">Gene expression count data for all ASD-type mice</w:t>
              </w:r>
            </w:hyperlink>
          </w:p>
          <w:p>
            <w:pPr>
              <w:pStyle w:val="Compact"/>
              <w:numPr>
                <w:ilvl w:val="0"/>
                <w:numId w:val="1004"/>
              </w:numPr>
            </w:pPr>
            <w:hyperlink r:id="rId38">
              <w:r>
                <w:rPr>
                  <w:rStyle w:val="Hyperlink"/>
                </w:rPr>
                <w:t xml:space="preserve">Gene expression count data for all prefrontal cortex samples</w:t>
              </w:r>
            </w:hyperlink>
          </w:p>
          <w:p>
            <w:pPr>
              <w:pStyle w:val="Compact"/>
              <w:numPr>
                <w:ilvl w:val="0"/>
                <w:numId w:val="1004"/>
              </w:numPr>
            </w:pPr>
            <w:hyperlink r:id="rId39">
              <w:r>
                <w:rPr>
                  <w:rStyle w:val="Hyperlink"/>
                </w:rPr>
                <w:t xml:space="preserve">Gene expression count data for all striatum samples</w:t>
              </w:r>
            </w:hyperlink>
          </w:p>
          <w:p>
            <w:pPr>
              <w:pStyle w:val="Compact"/>
              <w:numPr>
                <w:ilvl w:val="0"/>
                <w:numId w:val="1004"/>
              </w:numPr>
            </w:pPr>
            <w:hyperlink r:id="rId40">
              <w:r>
                <w:rPr>
                  <w:rStyle w:val="Hyperlink"/>
                </w:rPr>
                <w:t xml:space="preserve">Comparing gene expression between ASD and control mice, both brain regions</w:t>
              </w:r>
            </w:hyperlink>
          </w:p>
          <w:p>
            <w:pPr>
              <w:pStyle w:val="Compact"/>
              <w:numPr>
                <w:ilvl w:val="0"/>
                <w:numId w:val="1004"/>
              </w:numPr>
            </w:pPr>
            <w:hyperlink r:id="rId41">
              <w:r>
                <w:rPr>
                  <w:rStyle w:val="Hyperlink"/>
                </w:rPr>
                <w:t xml:space="preserve">Comparing gene expression between ASD and control mice, prefrontal cortex only</w:t>
              </w:r>
            </w:hyperlink>
          </w:p>
          <w:p>
            <w:pPr>
              <w:pStyle w:val="Compact"/>
              <w:numPr>
                <w:ilvl w:val="0"/>
                <w:numId w:val="1004"/>
              </w:numPr>
            </w:pPr>
            <w:hyperlink r:id="rId42">
              <w:r>
                <w:rPr>
                  <w:rStyle w:val="Hyperlink"/>
                </w:rPr>
                <w:t xml:space="preserve">Comparing gene expression between ASD and control mice, striatum only</w:t>
              </w:r>
            </w:hyperlink>
          </w:p>
          <w:p>
            <w:pPr>
              <w:pStyle w:val="Compact"/>
              <w:numPr>
                <w:ilvl w:val="0"/>
                <w:numId w:val="1004"/>
              </w:numPr>
            </w:pPr>
            <w:hyperlink r:id="rId43">
              <w:r>
                <w:rPr>
                  <w:rStyle w:val="Hyperlink"/>
                </w:rPr>
                <w:t xml:space="preserve">Comparing gene expression between prefrontal cortex and striatum, all mice</w:t>
              </w:r>
            </w:hyperlink>
          </w:p>
          <w:p>
            <w:pPr>
              <w:pStyle w:val="Compact"/>
              <w:numPr>
                <w:ilvl w:val="0"/>
                <w:numId w:val="1004"/>
              </w:numPr>
            </w:pPr>
            <w:hyperlink r:id="rId44">
              <w:r>
                <w:rPr>
                  <w:rStyle w:val="Hyperlink"/>
                </w:rPr>
                <w:t xml:space="preserve">Comparing gene expression between prefrontal cortex and striatum, only ASD mice</w:t>
              </w:r>
            </w:hyperlink>
          </w:p>
          <w:p>
            <w:pPr>
              <w:pStyle w:val="Compact"/>
              <w:numPr>
                <w:ilvl w:val="0"/>
                <w:numId w:val="1004"/>
              </w:numPr>
            </w:pPr>
            <w:hyperlink r:id="rId45">
              <w:r>
                <w:rPr>
                  <w:rStyle w:val="Hyperlink"/>
                </w:rPr>
                <w:t xml:space="preserve">Comparing gene expression between prefrontal cortex and striatum, only control mice</w:t>
              </w:r>
            </w:hyperlink>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Student Activity - Questions Only</w:t>
            </w:r>
          </w:p>
        </w:tc>
      </w:tr>
      <w:tr>
        <w:trPr>
          <w:cantSplit/>
        </w:trPr>
        <w:tc>
          <w:tcPr>
            <w:tcMar>
              <w:top w:w="108" w:type="dxa"/>
              <w:bottom w:w="108" w:type="dxa"/>
            </w:tcMar>
          </w:tcPr>
          <w:p>
            <w:pPr>
              <w:pStyle w:val="Compact"/>
              <w:numPr>
                <w:ilvl w:val="0"/>
                <w:numId w:val="1005"/>
              </w:numPr>
            </w:pPr>
            <w:hyperlink r:id="rId46">
              <w:r>
                <w:rPr>
                  <w:rStyle w:val="Hyperlink"/>
                </w:rPr>
                <w:t xml:space="preserve">Web page</w:t>
              </w:r>
            </w:hyperlink>
          </w:p>
          <w:p>
            <w:pPr>
              <w:pStyle w:val="Compact"/>
              <w:numPr>
                <w:ilvl w:val="0"/>
                <w:numId w:val="1005"/>
              </w:numPr>
            </w:pPr>
            <w:hyperlink r:id="rId47">
              <w:r>
                <w:rPr>
                  <w:rStyle w:val="Hyperlink"/>
                </w:rPr>
                <w:t xml:space="preserve">Quarto (qmd)</w:t>
              </w:r>
            </w:hyperlink>
          </w:p>
          <w:p>
            <w:pPr>
              <w:pStyle w:val="Compact"/>
              <w:numPr>
                <w:ilvl w:val="0"/>
                <w:numId w:val="1005"/>
              </w:numPr>
            </w:pPr>
            <w:hyperlink r:id="rId48">
              <w:r>
                <w:rPr>
                  <w:rStyle w:val="Hyperlink"/>
                </w:rPr>
                <w:t xml:space="preserve">Word (docx)</w:t>
              </w:r>
            </w:hyperlink>
          </w:p>
          <w:p>
            <w:pPr>
              <w:pStyle w:val="Compact"/>
              <w:numPr>
                <w:ilvl w:val="0"/>
                <w:numId w:val="1005"/>
              </w:numPr>
            </w:pPr>
            <w:hyperlink r:id="rId49">
              <w:r>
                <w:rPr>
                  <w:rStyle w:val="Hyperlink"/>
                </w:rPr>
                <w:t xml:space="preserve">Google doc</w:t>
              </w:r>
            </w:hyperlink>
          </w:p>
          <w:p/>
        </w:tc>
      </w:tr>
    </w:tbl>
    <w:bookmarkEnd w:id="50"/>
    <w:bookmarkStart w:id="53" w:name="instructor-materials"/>
    <w:p>
      <w:pPr>
        <w:pStyle w:val="Heading2"/>
      </w:pPr>
      <w:r>
        <w:t xml:space="preserve">Instructor Materials</w:t>
      </w:r>
    </w:p>
    <w:p>
      <w:pPr>
        <w:pStyle w:val="FirstParagraph"/>
      </w:pPr>
      <w:r>
        <w:t xml:space="preserve">A Google Slides presentation is available for borrowing images</w:t>
      </w:r>
      <w:r>
        <w:t xml:space="preserve"> </w:t>
      </w:r>
      <w:hyperlink r:id="rId51">
        <w:r>
          <w:rPr>
            <w:rStyle w:val="Hyperlink"/>
          </w:rPr>
          <w:t xml:space="preserve">here</w:t>
        </w:r>
      </w:hyperlink>
      <w:r>
        <w:t xml:space="preserve">.</w:t>
      </w:r>
    </w:p>
    <w:p>
      <w:pPr>
        <w:pStyle w:val="BodyText"/>
      </w:pPr>
      <w:r>
        <w:t xml:space="preserve">An answer key is available</w:t>
      </w:r>
      <w:r>
        <w:t xml:space="preserve"> </w:t>
      </w:r>
      <w:hyperlink r:id="rId52">
        <w:r>
          <w:rPr>
            <w:rStyle w:val="Hyperlink"/>
          </w:rPr>
          <w:t xml:space="preserve">here</w:t>
        </w:r>
      </w:hyperlink>
      <w:r>
        <w:t xml:space="preserve">. Please message Ava Hoffman (ahoffma2 at fredhutch dot org) to get access.</w:t>
      </w:r>
    </w:p>
    <w:bookmarkEnd w:id="53"/>
    <w:bookmarkStart w:id="55" w:name="scientific-topics"/>
    <w:p>
      <w:pPr>
        <w:pStyle w:val="Heading2"/>
      </w:pPr>
      <w:r>
        <w:t xml:space="preserve">Scientific Topics</w:t>
      </w:r>
    </w:p>
    <w:p>
      <w:pPr>
        <w:pStyle w:val="FirstParagraph"/>
      </w:pPr>
      <w:r>
        <w:t xml:space="preserve">The activity uses data from a</w:t>
      </w:r>
      <w:r>
        <w:t xml:space="preserve"> </w:t>
      </w:r>
      <w:hyperlink r:id="rId54">
        <w:r>
          <w:rPr>
            <w:rStyle w:val="Hyperlink"/>
          </w:rPr>
          <w:t xml:space="preserve">published research study</w:t>
        </w:r>
      </w:hyperlink>
      <w:r>
        <w:t xml:space="preserve"> </w:t>
      </w:r>
      <w:r>
        <w:t xml:space="preserve">“Human Gut Microbiota from Autism Spectrum Disorder Induces Behavioral Deficits in Mice”</w:t>
      </w:r>
      <w:r>
        <w:t xml:space="preserve"> </w:t>
      </w:r>
      <w:r>
        <w:t xml:space="preserve">[1]</w:t>
      </w:r>
      <w:r>
        <w:t xml:space="preserve">. Students will gain exposure to the following:</w:t>
      </w:r>
    </w:p>
    <w:p>
      <w:pPr>
        <w:numPr>
          <w:ilvl w:val="0"/>
          <w:numId w:val="1006"/>
        </w:numPr>
      </w:pPr>
      <w:r>
        <w:t xml:space="preserve">Differential expression: the process where different cells within an organism, even those with the same DNA, express different genes, with some genes being expressed or</w:t>
      </w:r>
      <w:r>
        <w:t xml:space="preserve"> </w:t>
      </w:r>
      <w:r>
        <w:t xml:space="preserve">“turned on”</w:t>
      </w:r>
      <w:r>
        <w:t xml:space="preserve">, while others are</w:t>
      </w:r>
      <w:r>
        <w:t xml:space="preserve"> </w:t>
      </w:r>
      <w:r>
        <w:t xml:space="preserve">“turned off”</w:t>
      </w:r>
    </w:p>
    <w:p>
      <w:pPr>
        <w:numPr>
          <w:ilvl w:val="0"/>
          <w:numId w:val="1006"/>
        </w:numPr>
      </w:pPr>
      <w:r>
        <w:t xml:space="preserve">Gut-brain axis: the proposed connection between the gut microbiome and gene expression in the brain</w:t>
      </w:r>
    </w:p>
    <w:p>
      <w:pPr>
        <w:numPr>
          <w:ilvl w:val="0"/>
          <w:numId w:val="1006"/>
        </w:numPr>
      </w:pPr>
      <w:r>
        <w:t xml:space="preserve">Autism Spectrum Disorder: a neurological disorder that affects behavioral and social interactions</w:t>
      </w:r>
    </w:p>
    <w:p>
      <w:pPr>
        <w:numPr>
          <w:ilvl w:val="0"/>
          <w:numId w:val="1006"/>
        </w:numPr>
      </w:pPr>
      <w:r>
        <w:t xml:space="preserve">Neurodevelopmental disorders: disorders that are the result of altered brain development (miniCURE only)</w:t>
      </w:r>
    </w:p>
    <w:p>
      <w:pPr>
        <w:numPr>
          <w:ilvl w:val="0"/>
          <w:numId w:val="1006"/>
        </w:numPr>
      </w:pPr>
      <w:r>
        <w:t xml:space="preserve">Neurodegenerative disorders: disorders that that occur when brain structures and systems experience degradation (miniCURE only)</w:t>
      </w:r>
    </w:p>
    <w:p>
      <w:pPr>
        <w:numPr>
          <w:ilvl w:val="0"/>
          <w:numId w:val="1006"/>
        </w:numPr>
      </w:pPr>
      <w:r>
        <w:t xml:space="preserve">Prefrontal cortex: the part of the brain that is primarily in charge of decision making, reasoning, personality, maintaining social appropriateness, and other complex behaviors that fall under the umbrella of executive functions</w:t>
      </w:r>
    </w:p>
    <w:p>
      <w:pPr>
        <w:numPr>
          <w:ilvl w:val="0"/>
          <w:numId w:val="1006"/>
        </w:numPr>
      </w:pPr>
      <w:r>
        <w:t xml:space="preserve">Striatum: the part of the brain involved in motor control and cognitive tasks like reward processing, decision-making, and social interactions</w:t>
      </w:r>
    </w:p>
    <w:bookmarkEnd w:id="55"/>
    <w:bookmarkStart w:id="56" w:name="outline-for-rna-seq-minicure-extension"/>
    <w:p>
      <w:pPr>
        <w:pStyle w:val="Heading2"/>
      </w:pPr>
      <w:r>
        <w:t xml:space="preserve">Outline for RNA-seq miniCURE Extension</w:t>
      </w:r>
    </w:p>
    <w:p>
      <w:pPr>
        <w:numPr>
          <w:ilvl w:val="0"/>
          <w:numId w:val="1007"/>
        </w:numPr>
      </w:pPr>
      <w:r>
        <w:t xml:space="preserve">Background and Setup</w:t>
      </w:r>
    </w:p>
    <w:p>
      <w:pPr>
        <w:numPr>
          <w:ilvl w:val="0"/>
          <w:numId w:val="1007"/>
        </w:numPr>
      </w:pPr>
      <w:r>
        <w:t xml:space="preserve">Developing a Hypothesis; Identifying Genes of Interest</w:t>
      </w:r>
    </w:p>
    <w:p>
      <w:pPr>
        <w:numPr>
          <w:ilvl w:val="0"/>
          <w:numId w:val="1007"/>
        </w:numPr>
      </w:pPr>
      <w:r>
        <w:t xml:space="preserve">Exploring Gene Expression Data</w:t>
      </w:r>
    </w:p>
    <w:p>
      <w:pPr>
        <w:numPr>
          <w:ilvl w:val="0"/>
          <w:numId w:val="1007"/>
        </w:numPr>
      </w:pPr>
      <w:r>
        <w:t xml:space="preserve">Analyzing Differential Expression Data</w:t>
      </w:r>
    </w:p>
    <w:bookmarkEnd w:id="56"/>
    <w:bookmarkStart w:id="60" w:name="outline-for-rna-seq-standalone-activity"/>
    <w:p>
      <w:pPr>
        <w:pStyle w:val="Heading2"/>
      </w:pPr>
      <w:r>
        <w:t xml:space="preserve">Outline for RNA-seq standalone activity</w:t>
      </w:r>
    </w:p>
    <w:p>
      <w:pPr>
        <w:numPr>
          <w:ilvl w:val="0"/>
          <w:numId w:val="1008"/>
        </w:numPr>
      </w:pPr>
      <w:r>
        <w:t xml:space="preserve">Background and Setup</w:t>
      </w:r>
    </w:p>
    <w:p>
      <w:pPr>
        <w:numPr>
          <w:ilvl w:val="0"/>
          <w:numId w:val="1008"/>
        </w:numPr>
      </w:pPr>
      <w:r>
        <w:t xml:space="preserve">Exploring Gene Expression Data</w:t>
      </w:r>
    </w:p>
    <w:p>
      <w:pPr>
        <w:numPr>
          <w:ilvl w:val="0"/>
          <w:numId w:val="1008"/>
        </w:numPr>
      </w:pPr>
      <w:r>
        <w:t xml:space="preserve">Analyzing Differential Expression Data</w:t>
      </w:r>
    </w:p>
    <w:bookmarkStart w:id="59" w:name="refs"/>
    <w:bookmarkStart w:id="58" w:name="ref-sharon2019"/>
    <w:p>
      <w:pPr>
        <w:pStyle w:val="Bibliography"/>
      </w:pPr>
      <w:r>
        <w:t xml:space="preserve">[1]</w:t>
      </w:r>
      <w:r>
        <w:t xml:space="preserve"> </w:t>
      </w:r>
      <w:r>
        <w:t xml:space="preserve">	</w:t>
      </w:r>
      <w:r>
        <w:t xml:space="preserve">G. Sharon</w:t>
      </w:r>
      <w:r>
        <w:t xml:space="preserve"> </w:t>
      </w:r>
      <w:r>
        <w:rPr>
          <w:i/>
          <w:iCs/>
        </w:rPr>
        <w:t xml:space="preserve">et al.</w:t>
      </w:r>
      <w:r>
        <w:t xml:space="preserve">,</w:t>
      </w:r>
      <w:r>
        <w:t xml:space="preserve"> </w:t>
      </w:r>
      <w:r>
        <w:t xml:space="preserve">“Human gut microbiota from autism spectrum disorder promote behavioral symptoms in mice,”</w:t>
      </w:r>
      <w:r>
        <w:t xml:space="preserve"> </w:t>
      </w:r>
      <w:r>
        <w:rPr>
          <w:i/>
          <w:iCs/>
        </w:rPr>
        <w:t xml:space="preserve">Cell</w:t>
      </w:r>
      <w:r>
        <w:t xml:space="preserve">, vol. 177, no. 6, pp. 1600–1618, 2019, Available:</w:t>
      </w:r>
      <w:r>
        <w:t xml:space="preserve"> </w:t>
      </w:r>
      <w:hyperlink r:id="rId57">
        <w:r>
          <w:rPr>
            <w:rStyle w:val="Hyperlink"/>
          </w:rPr>
          <w:t xml:space="preserve">https://pubmed.ncbi.nlm.nih.gov/31150625/</w:t>
        </w:r>
      </w:hyperlink>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49" Target="" TargetMode="External" /><Relationship Type="http://schemas.openxmlformats.org/officeDocument/2006/relationships/hyperlink" Id="rId34" Target="https://docs.google.com/document/d/1832nmbVvC3xpT-iTGak_8zl-YOvyYsKY/edit?usp=sharing&amp;ouid=101727846555185296348&amp;rtpof=true&amp;sd=true" TargetMode="External" /><Relationship Type="http://schemas.openxmlformats.org/officeDocument/2006/relationships/hyperlink" Id="rId52" Target="https://docs.google.com/document/d/1qIxcwNs_vDqEI2qg9Tfeo2RshwZWmFg3ZewO5z3uPXw/edit?usp=sharing" TargetMode="External" /><Relationship Type="http://schemas.openxmlformats.org/officeDocument/2006/relationships/hyperlink" Id="rId51" Target="https://docs.google.com/presentation/d/1vikcyml6uw-_DaC1yFpS-UWoWNEGxFukMB_eCi42BqY/edit?usp=sharing" TargetMode="External" /><Relationship Type="http://schemas.openxmlformats.org/officeDocument/2006/relationships/hyperlink" Id="rId27" Target="https://drive.google.com/file/d/16Wx2CxDsmojfWacb2S1SHbYdI3kqBzFX/view?usp=sharing" TargetMode="External" /><Relationship Type="http://schemas.openxmlformats.org/officeDocument/2006/relationships/hyperlink" Id="rId20" Target="https://forms.gle/Qd9KLiDsUFY4s1LV8" TargetMode="External" /><Relationship Type="http://schemas.openxmlformats.org/officeDocument/2006/relationships/hyperlink" Id="rId40" Target="https://genomicseducation.org/data/mouse_gutbrain_de_autismVcontrol.csv" TargetMode="External" /><Relationship Type="http://schemas.openxmlformats.org/officeDocument/2006/relationships/hyperlink" Id="rId41" Target="https://genomicseducation.org/data/mouse_gutbrain_de_autismVcontrol_in_prefrontalcortex.csv" TargetMode="External" /><Relationship Type="http://schemas.openxmlformats.org/officeDocument/2006/relationships/hyperlink" Id="rId42" Target="https://genomicseducation.org/data/mouse_gutbrain_de_autismVcontrol_in_striatum.csv" TargetMode="External" /><Relationship Type="http://schemas.openxmlformats.org/officeDocument/2006/relationships/hyperlink" Id="rId37" Target="https://genomicseducation.org/data/mouse_gutbrain_de_counts_asd.csv" TargetMode="External" /><Relationship Type="http://schemas.openxmlformats.org/officeDocument/2006/relationships/hyperlink" Id="rId36" Target="https://genomicseducation.org/data/mouse_gutbrain_de_counts_controls.csv" TargetMode="External" /><Relationship Type="http://schemas.openxmlformats.org/officeDocument/2006/relationships/hyperlink" Id="rId38" Target="https://genomicseducation.org/data/mouse_gutbrain_de_counts_prefrontalcortex.csv" TargetMode="External" /><Relationship Type="http://schemas.openxmlformats.org/officeDocument/2006/relationships/hyperlink" Id="rId39" Target="https://genomicseducation.org/data/mouse_gutbrain_de_counts_striatum.csv" TargetMode="External" /><Relationship Type="http://schemas.openxmlformats.org/officeDocument/2006/relationships/hyperlink" Id="rId43" Target="https://genomicseducation.org/data/mouse_gutbrain_de_tissuetype.csv" TargetMode="External" /><Relationship Type="http://schemas.openxmlformats.org/officeDocument/2006/relationships/hyperlink" Id="rId44" Target="https://genomicseducation.org/data/mouse_gutbrain_de_tissuetype_in_ASDmice.csv" TargetMode="External" /><Relationship Type="http://schemas.openxmlformats.org/officeDocument/2006/relationships/hyperlink" Id="rId45" Target="https://genomicseducation.org/data/mouse_gutbrain_de_tissuetype_in_controlmice.csv" TargetMode="External" /><Relationship Type="http://schemas.openxmlformats.org/officeDocument/2006/relationships/hyperlink" Id="rId46" Target="https://genomicseducation.org/module/mouse_gutbrain_de_questions_only.html" TargetMode="External" /><Relationship Type="http://schemas.openxmlformats.org/officeDocument/2006/relationships/hyperlink" Id="rId31" Target="https://genomicseducation.org/module/mouse_gutbrain_de_student_guide.html" TargetMode="External" /><Relationship Type="http://schemas.openxmlformats.org/officeDocument/2006/relationships/hyperlink" Id="rId26" Target="https://genomicseducation.shinyapps.io/student_post_survey/" TargetMode="External" /><Relationship Type="http://schemas.openxmlformats.org/officeDocument/2006/relationships/hyperlink" Id="rId25" Target="https://genomicseducation.shinyapps.io/student_pre_survey/" TargetMode="External" /><Relationship Type="http://schemas.openxmlformats.org/officeDocument/2006/relationships/hyperlink" Id="rId47" Target="https://github.com/fhdsl/GEMs/blob/main/module/mouse_gutbrain_de_questions_only.qmd" TargetMode="External" /><Relationship Type="http://schemas.openxmlformats.org/officeDocument/2006/relationships/hyperlink" Id="rId32" Target="https://github.com/fhdsl/GEMs/blob/main/module/mouse_gutbrain_de_student_guide.qmd" TargetMode="External" /><Relationship Type="http://schemas.openxmlformats.org/officeDocument/2006/relationships/hyperlink" Id="rId48" Target="https://github.com/fhdsl/GEMs/raw/main/docs/docx/module/mouse_gutbrain_de_questions_only.docx" TargetMode="External" /><Relationship Type="http://schemas.openxmlformats.org/officeDocument/2006/relationships/hyperlink" Id="rId33" Target="https://github.com/fhdsl/GEMs/raw/main/docs/docx/module/mouse_gutbrain_de_student_guide.docx" TargetMode="External" /><Relationship Type="http://schemas.openxmlformats.org/officeDocument/2006/relationships/hyperlink" Id="rId57" Target="https://pubmed.ncbi.nlm.nih.gov/31150625/" TargetMode="External" /><Relationship Type="http://schemas.openxmlformats.org/officeDocument/2006/relationships/hyperlink" Id="rId54" Target="https://www.cell.com/cell/fulltext/S0092-8674(19)30502-1" TargetMode="External" /><Relationship Type="http://schemas.openxmlformats.org/officeDocument/2006/relationships/hyperlink" Id="rId35" Target="mouse_gutbrain_metadata.csv" TargetMode="External" /></Relationships>
</file>

<file path=word/_rels/footnotes.xml.rels><?xml version="1.0" encoding="UTF-8"?><Relationships xmlns="http://schemas.openxmlformats.org/package/2006/relationships"><Relationship Type="http://schemas.openxmlformats.org/officeDocument/2006/relationships/hyperlink" Id="rId49" Target="" TargetMode="External" /><Relationship Type="http://schemas.openxmlformats.org/officeDocument/2006/relationships/hyperlink" Id="rId34" Target="https://docs.google.com/document/d/1832nmbVvC3xpT-iTGak_8zl-YOvyYsKY/edit?usp=sharing&amp;ouid=101727846555185296348&amp;rtpof=true&amp;sd=true" TargetMode="External" /><Relationship Type="http://schemas.openxmlformats.org/officeDocument/2006/relationships/hyperlink" Id="rId52" Target="https://docs.google.com/document/d/1qIxcwNs_vDqEI2qg9Tfeo2RshwZWmFg3ZewO5z3uPXw/edit?usp=sharing" TargetMode="External" /><Relationship Type="http://schemas.openxmlformats.org/officeDocument/2006/relationships/hyperlink" Id="rId51" Target="https://docs.google.com/presentation/d/1vikcyml6uw-_DaC1yFpS-UWoWNEGxFukMB_eCi42BqY/edit?usp=sharing" TargetMode="External" /><Relationship Type="http://schemas.openxmlformats.org/officeDocument/2006/relationships/hyperlink" Id="rId27" Target="https://drive.google.com/file/d/16Wx2CxDsmojfWacb2S1SHbYdI3kqBzFX/view?usp=sharing" TargetMode="External" /><Relationship Type="http://schemas.openxmlformats.org/officeDocument/2006/relationships/hyperlink" Id="rId20" Target="https://forms.gle/Qd9KLiDsUFY4s1LV8" TargetMode="External" /><Relationship Type="http://schemas.openxmlformats.org/officeDocument/2006/relationships/hyperlink" Id="rId40" Target="https://genomicseducation.org/data/mouse_gutbrain_de_autismVcontrol.csv" TargetMode="External" /><Relationship Type="http://schemas.openxmlformats.org/officeDocument/2006/relationships/hyperlink" Id="rId41" Target="https://genomicseducation.org/data/mouse_gutbrain_de_autismVcontrol_in_prefrontalcortex.csv" TargetMode="External" /><Relationship Type="http://schemas.openxmlformats.org/officeDocument/2006/relationships/hyperlink" Id="rId42" Target="https://genomicseducation.org/data/mouse_gutbrain_de_autismVcontrol_in_striatum.csv" TargetMode="External" /><Relationship Type="http://schemas.openxmlformats.org/officeDocument/2006/relationships/hyperlink" Id="rId37" Target="https://genomicseducation.org/data/mouse_gutbrain_de_counts_asd.csv" TargetMode="External" /><Relationship Type="http://schemas.openxmlformats.org/officeDocument/2006/relationships/hyperlink" Id="rId36" Target="https://genomicseducation.org/data/mouse_gutbrain_de_counts_controls.csv" TargetMode="External" /><Relationship Type="http://schemas.openxmlformats.org/officeDocument/2006/relationships/hyperlink" Id="rId38" Target="https://genomicseducation.org/data/mouse_gutbrain_de_counts_prefrontalcortex.csv" TargetMode="External" /><Relationship Type="http://schemas.openxmlformats.org/officeDocument/2006/relationships/hyperlink" Id="rId39" Target="https://genomicseducation.org/data/mouse_gutbrain_de_counts_striatum.csv" TargetMode="External" /><Relationship Type="http://schemas.openxmlformats.org/officeDocument/2006/relationships/hyperlink" Id="rId43" Target="https://genomicseducation.org/data/mouse_gutbrain_de_tissuetype.csv" TargetMode="External" /><Relationship Type="http://schemas.openxmlformats.org/officeDocument/2006/relationships/hyperlink" Id="rId44" Target="https://genomicseducation.org/data/mouse_gutbrain_de_tissuetype_in_ASDmice.csv" TargetMode="External" /><Relationship Type="http://schemas.openxmlformats.org/officeDocument/2006/relationships/hyperlink" Id="rId45" Target="https://genomicseducation.org/data/mouse_gutbrain_de_tissuetype_in_controlmice.csv" TargetMode="External" /><Relationship Type="http://schemas.openxmlformats.org/officeDocument/2006/relationships/hyperlink" Id="rId46" Target="https://genomicseducation.org/module/mouse_gutbrain_de_questions_only.html" TargetMode="External" /><Relationship Type="http://schemas.openxmlformats.org/officeDocument/2006/relationships/hyperlink" Id="rId31" Target="https://genomicseducation.org/module/mouse_gutbrain_de_student_guide.html" TargetMode="External" /><Relationship Type="http://schemas.openxmlformats.org/officeDocument/2006/relationships/hyperlink" Id="rId26" Target="https://genomicseducation.shinyapps.io/student_post_survey/" TargetMode="External" /><Relationship Type="http://schemas.openxmlformats.org/officeDocument/2006/relationships/hyperlink" Id="rId25" Target="https://genomicseducation.shinyapps.io/student_pre_survey/" TargetMode="External" /><Relationship Type="http://schemas.openxmlformats.org/officeDocument/2006/relationships/hyperlink" Id="rId47" Target="https://github.com/fhdsl/GEMs/blob/main/module/mouse_gutbrain_de_questions_only.qmd" TargetMode="External" /><Relationship Type="http://schemas.openxmlformats.org/officeDocument/2006/relationships/hyperlink" Id="rId32" Target="https://github.com/fhdsl/GEMs/blob/main/module/mouse_gutbrain_de_student_guide.qmd" TargetMode="External" /><Relationship Type="http://schemas.openxmlformats.org/officeDocument/2006/relationships/hyperlink" Id="rId48" Target="https://github.com/fhdsl/GEMs/raw/main/docs/docx/module/mouse_gutbrain_de_questions_only.docx" TargetMode="External" /><Relationship Type="http://schemas.openxmlformats.org/officeDocument/2006/relationships/hyperlink" Id="rId33" Target="https://github.com/fhdsl/GEMs/raw/main/docs/docx/module/mouse_gutbrain_de_student_guide.docx" TargetMode="External" /><Relationship Type="http://schemas.openxmlformats.org/officeDocument/2006/relationships/hyperlink" Id="rId57" Target="https://pubmed.ncbi.nlm.nih.gov/31150625/" TargetMode="External" /><Relationship Type="http://schemas.openxmlformats.org/officeDocument/2006/relationships/hyperlink" Id="rId54" Target="https://www.cell.com/cell/fulltext/S0092-8674(19)30502-1" TargetMode="External" /><Relationship Type="http://schemas.openxmlformats.org/officeDocument/2006/relationships/hyperlink" Id="rId35" Target="mouse_gutbrain_metadata.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Differential Expression and the Mouse Gut-Brain Axis</dc:title>
  <dc:creator/>
  <cp:keywords/>
  <dcterms:created xsi:type="dcterms:W3CDTF">2026-10-26T23:04:51Z</dcterms:created>
  <dcterms:modified xsi:type="dcterms:W3CDTF">2026-10-26T23:04:51Z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