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Gut Check: AI and Genomic Literature</w:t>
      </w:r>
    </w:p>
    <w:p>
      <w:pPr>
        <w:pStyle w:val="Date"/>
      </w:pPr>
      <w:r>
        <w:t xml:space="preserve">2026-10-31</w:t>
      </w:r>
    </w:p>
    <w:bookmarkStart w:id="20" w:name="overview"/>
    <w:p>
      <w:pPr>
        <w:pStyle w:val="Heading2"/>
      </w:pPr>
      <w:r>
        <w:t xml:space="preserve">Overview</w:t>
      </w:r>
    </w:p>
    <w:p>
      <w:pPr>
        <w:pStyle w:val="FirstParagraph"/>
      </w:pPr>
      <w:r>
        <w:t xml:space="preserve">This short activity focused on the critical approach scientists must use to evaluate the validity of information, including information provided by Large Language Model (LLM) chat sources.</w:t>
      </w:r>
    </w:p>
    <w:p>
      <w:pPr>
        <w:pStyle w:val="BodyText"/>
      </w:pPr>
      <w:r>
        <w:rPr>
          <w:b/>
          <w:bCs/>
        </w:rPr>
        <w:t xml:space="preserve">Duration:</w:t>
      </w:r>
      <w:r>
        <w:t xml:space="preserve"> </w:t>
      </w:r>
      <w:r>
        <w:t xml:space="preserve">30 minutes - 1 hour.</w:t>
      </w:r>
    </w:p>
    <w:bookmarkEnd w:id="20"/>
    <w:bookmarkStart w:id="23"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1">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2">
        <w:r>
          <w:rPr>
            <w:rStyle w:val="Hyperlink"/>
          </w:rPr>
          <w:t xml:space="preserve">NIBLSE</w:t>
        </w:r>
      </w:hyperlink>
      <w:r>
        <w:t xml:space="preserve"> </w:t>
      </w:r>
      <w:r>
        <w:t xml:space="preserve">core competencies).</w:t>
      </w:r>
    </w:p>
    <w:bookmarkEnd w:id="23"/>
    <w:bookmarkStart w:id="24" w:name="prerequisites"/>
    <w:p>
      <w:pPr>
        <w:pStyle w:val="Heading2"/>
      </w:pPr>
      <w:r>
        <w:t xml:space="preserve">Prerequisites</w:t>
      </w:r>
    </w:p>
    <w:p>
      <w:pPr>
        <w:pStyle w:val="FirstParagraph"/>
      </w:pPr>
      <w:r>
        <w:t xml:space="preserve">Students will benefit from some awareness of ethics in genomics and in research more generally. We suggest this activity could accompany lectures that discuss these topics.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44"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3">
        <w:r>
          <w:rPr>
            <w:rStyle w:val="Hyperlink"/>
          </w:rPr>
          <w:t xml:space="preserve">Web page</w:t>
        </w:r>
      </w:hyperlink>
    </w:p>
    <w:p>
      <w:pPr>
        <w:pStyle w:val="Compact"/>
        <w:numPr>
          <w:ilvl w:val="0"/>
          <w:numId w:val="1002"/>
        </w:numPr>
      </w:pPr>
      <w:hyperlink r:id="rId34">
        <w:r>
          <w:rPr>
            <w:rStyle w:val="Hyperlink"/>
          </w:rPr>
          <w:t xml:space="preserve">Quarto (qmd)</w:t>
        </w:r>
      </w:hyperlink>
    </w:p>
    <w:p>
      <w:pPr>
        <w:pStyle w:val="Compact"/>
        <w:numPr>
          <w:ilvl w:val="0"/>
          <w:numId w:val="1002"/>
        </w:numPr>
      </w:pPr>
      <w:hyperlink r:id="rId35">
        <w:r>
          <w:rPr>
            <w:rStyle w:val="Hyperlink"/>
          </w:rPr>
          <w:t xml:space="preserve">Word (docx)</w:t>
        </w:r>
      </w:hyperlink>
    </w:p>
    <w:p>
      <w:pPr>
        <w:pStyle w:val="Compact"/>
        <w:numPr>
          <w:ilvl w:val="0"/>
          <w:numId w:val="1002"/>
        </w:numPr>
      </w:pPr>
      <w:hyperlink r:id="rId36">
        <w:r>
          <w:rPr>
            <w:rStyle w:val="Hyperlink"/>
          </w:rPr>
          <w:t xml:space="preserve">Google Doc</w:t>
        </w:r>
      </w:hyperlink>
    </w:p>
    <w:p>
      <w:pPr>
        <w:pStyle w:val="FirstParagraph"/>
      </w:pPr>
      <w:r>
        <w:t xml:space="preserve">We also have the questions only in several formats:</w:t>
      </w:r>
    </w:p>
    <w:p>
      <w:pPr>
        <w:pStyle w:val="Compact"/>
        <w:numPr>
          <w:ilvl w:val="0"/>
          <w:numId w:val="1003"/>
        </w:numPr>
      </w:pPr>
      <w:hyperlink r:id="rId37">
        <w:r>
          <w:rPr>
            <w:rStyle w:val="Hyperlink"/>
          </w:rPr>
          <w:t xml:space="preserve">Quarto (qmd)</w:t>
        </w:r>
      </w:hyperlink>
    </w:p>
    <w:p>
      <w:pPr>
        <w:pStyle w:val="Compact"/>
        <w:numPr>
          <w:ilvl w:val="0"/>
          <w:numId w:val="1003"/>
        </w:numPr>
      </w:pPr>
      <w:hyperlink r:id="rId38">
        <w:r>
          <w:rPr>
            <w:rStyle w:val="Hyperlink"/>
          </w:rPr>
          <w:t xml:space="preserve">Word (docx)</w:t>
        </w:r>
      </w:hyperlink>
    </w:p>
    <w:p>
      <w:pPr>
        <w:pStyle w:val="Compact"/>
        <w:numPr>
          <w:ilvl w:val="0"/>
          <w:numId w:val="1003"/>
        </w:numPr>
      </w:pPr>
      <w:hyperlink r:id="rId36">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uses URLs</w:t>
            </w:r>
          </w:p>
        </w:tc>
      </w:tr>
      <w:tr>
        <w:trPr>
          <w:cantSplit/>
        </w:trPr>
        <w:tc>
          <w:tcPr>
            <w:tcMar>
              <w:top w:w="108" w:type="dxa"/>
              <w:bottom w:w="108" w:type="dxa"/>
            </w:tcMar>
          </w:tcPr>
          <w:p>
            <w:pPr>
              <w:pStyle w:val="BodyText"/>
            </w:pPr>
            <w:pPr>
              <w:spacing w:before="16" w:after="16"/>
            </w:pPr>
            <w:r>
              <w:t xml:space="preserve">We suggest confirming links to chatbots are still active prior to running this activity.</w:t>
            </w:r>
          </w:p>
          <w:p/>
        </w:tc>
      </w:tr>
    </w:tbl>
    <w:bookmarkEnd w:id="42"/>
    <w:bookmarkStart w:id="43" w:name="instructor-materials"/>
    <w:p>
      <w:pPr>
        <w:pStyle w:val="Heading3"/>
      </w:pPr>
      <w:r>
        <w:t xml:space="preserve">Instructor Materials</w:t>
      </w:r>
    </w:p>
    <w:p>
      <w:pPr>
        <w:pStyle w:val="FirstParagraph"/>
      </w:pPr>
      <w:r>
        <w:t xml:space="preserve">An answer key is available</w:t>
      </w:r>
      <w:r>
        <w:t xml:space="preserve"> </w:t>
      </w:r>
      <w:hyperlink r:id="rId36">
        <w:r>
          <w:rPr>
            <w:rStyle w:val="Hyperlink"/>
          </w:rPr>
          <w:t xml:space="preserve">here</w:t>
        </w:r>
      </w:hyperlink>
      <w:r>
        <w:t xml:space="preserve">. Please message Ava Hoffman (ahoffma2 at fredhutch dot org) to get access.</w:t>
      </w:r>
    </w:p>
    <w:bookmarkEnd w:id="43"/>
    <w:bookmarkEnd w:id="44"/>
    <w:bookmarkStart w:id="46" w:name="scientific-topics"/>
    <w:p>
      <w:pPr>
        <w:pStyle w:val="Heading2"/>
      </w:pPr>
      <w:r>
        <w:t xml:space="preserve">Scientific Topics</w:t>
      </w:r>
    </w:p>
    <w:p>
      <w:pPr>
        <w:pStyle w:val="FirstParagraph"/>
      </w:pPr>
      <w:r>
        <w:t xml:space="preserve">Some of the questions in this activity are based on an online resource called</w:t>
      </w:r>
      <w:r>
        <w:t xml:space="preserve"> </w:t>
      </w:r>
      <w:hyperlink r:id="rId45">
        <w:r>
          <w:rPr>
            <w:rStyle w:val="Hyperlink"/>
          </w:rPr>
          <w:t xml:space="preserve">DataWISE</w:t>
        </w:r>
      </w:hyperlink>
      <w:r>
        <w:t xml:space="preserve">, produced by the National Center for Science Education. DataWISE is a tool that scaffolds key science practices and media literacy skills to guide students in critical analysis of data-based claims. We think the DataWISE worksheet is a fantastic framework/activity for science literacy and we encourage you to check it out!</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9" Target="media/rId39.png" /><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Gut Check: AI and Genomic Literature</dc:title>
  <dc:creator/>
  <cp:keywords/>
  <dcterms:created xsi:type="dcterms:W3CDTF">2026-10-31T12:03:14Z</dcterms:created>
  <dcterms:modified xsi:type="dcterms:W3CDTF">2026-10-31T12:03:14Z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2026-10-31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