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Forensic Case Files: DNA Barcoding</w:t>
      </w:r>
    </w:p>
    <w:p>
      <w:pPr>
        <w:pStyle w:val="Date"/>
      </w:pPr>
      <w:r>
        <w:t xml:space="preserve">2026-10-31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Why is DNA barcoding useful for the herbal medicine investigation case study?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What are some potential negative biological consequences of taking an herbal medication that is mislabeled?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Why is DNA barcoding useful for the suspected parrot smuggling case study?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What are some potential negative biological consequences of smuggling wildlife out of Brazil?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Forensic Case Files: DNA Barcoding</dc:title>
  <dc:creator/>
  <cp:keywords/>
  <dcterms:created xsi:type="dcterms:W3CDTF">2026-10-31T12:04:58Z</dcterms:created>
  <dcterms:modified xsi:type="dcterms:W3CDTF">2026-10-31T12:04:58Z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../book.bib</vt:lpwstr>
  </property>
  <property fmtid="{D5CDD505-2E9C-101B-9397-08002B2CF9AE}" pid="4" name="csl">
    <vt:lpwstr>../resources/ieee-with-url.csl</vt:lpwstr>
  </property>
  <property fmtid="{D5CDD505-2E9C-101B-9397-08002B2CF9AE}" pid="5" name="date">
    <vt:lpwstr>2026-10-31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