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2026-10-31</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8"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5">
              <w:r>
                <w:rPr>
                  <w:rStyle w:val="Hyperlink"/>
                </w:rPr>
                <w:t xml:space="preserve">Student pre-activity survey</w:t>
              </w:r>
            </w:hyperlink>
          </w:p>
          <w:p>
            <w:pPr>
              <w:pStyle w:val="BodyText"/>
            </w:pPr>
            <w:pPr>
              <w:spacing w:after="16"/>
            </w:pPr>
            <w:hyperlink r:id="rId26">
              <w:r>
                <w:rPr>
                  <w:rStyle w:val="Hyperlink"/>
                </w:rPr>
                <w:t xml:space="preserve">Student post-activity survey</w:t>
              </w:r>
            </w:hyperlink>
          </w:p>
          <w:p/>
        </w:tc>
      </w:tr>
    </w:tbl>
    <w:p>
      <w:pPr>
        <w:pStyle w:val="BodyText"/>
      </w:pPr>
      <w:r>
        <w:t xml:space="preserve">You can view our IRB approval</w:t>
      </w:r>
      <w:r>
        <w:t xml:space="preserve"> </w:t>
      </w:r>
      <w:hyperlink r:id="rId27">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28"/>
    <w:bookmarkStart w:id="29"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9"/>
    <w:bookmarkStart w:id="30"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30"/>
    <w:bookmarkStart w:id="50"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BodyText"/>
            </w:pPr>
            <w:pPr>
              <w:spacing w:before="16"/>
            </w:pPr>
            <w:r>
              <w:t xml:space="preserve">Standalone R student activity:</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Quarto (qmd)</w:t>
              </w:r>
            </w:hyperlink>
          </w:p>
          <w:p>
            <w:pPr>
              <w:pStyle w:val="Compact"/>
              <w:numPr>
                <w:ilvl w:val="0"/>
                <w:numId w:val="1003"/>
              </w:numPr>
            </w:pPr>
            <w:hyperlink r:id="rId33">
              <w:r>
                <w:rPr>
                  <w:rStyle w:val="Hyperlink"/>
                </w:rPr>
                <w:t xml:space="preserve">Word (docx)</w:t>
              </w:r>
            </w:hyperlink>
          </w:p>
          <w:p>
            <w:pPr>
              <w:pStyle w:val="Compact"/>
              <w:numPr>
                <w:ilvl w:val="0"/>
                <w:numId w:val="1003"/>
              </w:numPr>
            </w:pPr>
            <w:hyperlink r:id="rId34">
              <w:r>
                <w:rPr>
                  <w:rStyle w:val="Hyperlink"/>
                </w:rPr>
                <w:t xml:space="preserve">Google Doc</w:t>
              </w:r>
            </w:hyperlink>
          </w:p>
          <w:p>
            <w:pPr>
              <w:pStyle w:val="FirstParagraph"/>
            </w:pPr>
            <w:r>
              <w:t xml:space="preserve">Students can use any of the following datasets to compare gene expression:</w:t>
            </w:r>
          </w:p>
          <w:p>
            <w:pPr>
              <w:pStyle w:val="Compact"/>
              <w:numPr>
                <w:ilvl w:val="0"/>
                <w:numId w:val="1004"/>
              </w:numPr>
            </w:pPr>
            <w:hyperlink r:id="rId35">
              <w:r>
                <w:rPr>
                  <w:rStyle w:val="Hyperlink"/>
                </w:rPr>
                <w:t xml:space="preserve">Sample metadata</w:t>
              </w:r>
            </w:hyperlink>
          </w:p>
          <w:p>
            <w:pPr>
              <w:pStyle w:val="Compact"/>
              <w:numPr>
                <w:ilvl w:val="0"/>
                <w:numId w:val="1004"/>
              </w:numPr>
            </w:pPr>
            <w:hyperlink r:id="rId36">
              <w:r>
                <w:rPr>
                  <w:rStyle w:val="Hyperlink"/>
                </w:rPr>
                <w:t xml:space="preserve">Gene expression count data for all control-type mice</w:t>
              </w:r>
            </w:hyperlink>
          </w:p>
          <w:p>
            <w:pPr>
              <w:pStyle w:val="Compact"/>
              <w:numPr>
                <w:ilvl w:val="0"/>
                <w:numId w:val="1004"/>
              </w:numPr>
            </w:pPr>
            <w:hyperlink r:id="rId37">
              <w:r>
                <w:rPr>
                  <w:rStyle w:val="Hyperlink"/>
                </w:rPr>
                <w:t xml:space="preserve">Gene expression count data for all ASD-type mice</w:t>
              </w:r>
            </w:hyperlink>
          </w:p>
          <w:p>
            <w:pPr>
              <w:pStyle w:val="Compact"/>
              <w:numPr>
                <w:ilvl w:val="0"/>
                <w:numId w:val="1004"/>
              </w:numPr>
            </w:pPr>
            <w:hyperlink r:id="rId38">
              <w:r>
                <w:rPr>
                  <w:rStyle w:val="Hyperlink"/>
                </w:rPr>
                <w:t xml:space="preserve">Gene expression count data for all prefrontal cortex samples</w:t>
              </w:r>
            </w:hyperlink>
          </w:p>
          <w:p>
            <w:pPr>
              <w:pStyle w:val="Compact"/>
              <w:numPr>
                <w:ilvl w:val="0"/>
                <w:numId w:val="1004"/>
              </w:numPr>
            </w:pPr>
            <w:hyperlink r:id="rId39">
              <w:r>
                <w:rPr>
                  <w:rStyle w:val="Hyperlink"/>
                </w:rPr>
                <w:t xml:space="preserve">Gene expression count data for all striatum samples</w:t>
              </w:r>
            </w:hyperlink>
          </w:p>
          <w:p>
            <w:pPr>
              <w:pStyle w:val="Compact"/>
              <w:numPr>
                <w:ilvl w:val="0"/>
                <w:numId w:val="1004"/>
              </w:numPr>
            </w:pPr>
            <w:hyperlink r:id="rId40">
              <w:r>
                <w:rPr>
                  <w:rStyle w:val="Hyperlink"/>
                </w:rPr>
                <w:t xml:space="preserve">Comparing gene expression between ASD and control mice, both brain regions</w:t>
              </w:r>
            </w:hyperlink>
          </w:p>
          <w:p>
            <w:pPr>
              <w:pStyle w:val="Compact"/>
              <w:numPr>
                <w:ilvl w:val="0"/>
                <w:numId w:val="1004"/>
              </w:numPr>
            </w:pPr>
            <w:hyperlink r:id="rId41">
              <w:r>
                <w:rPr>
                  <w:rStyle w:val="Hyperlink"/>
                </w:rPr>
                <w:t xml:space="preserve">Comparing gene expression between ASD and control mice, prefrontal cortex only</w:t>
              </w:r>
            </w:hyperlink>
          </w:p>
          <w:p>
            <w:pPr>
              <w:pStyle w:val="Compact"/>
              <w:numPr>
                <w:ilvl w:val="0"/>
                <w:numId w:val="1004"/>
              </w:numPr>
            </w:pPr>
            <w:hyperlink r:id="rId42">
              <w:r>
                <w:rPr>
                  <w:rStyle w:val="Hyperlink"/>
                </w:rPr>
                <w:t xml:space="preserve">Comparing gene expression between ASD and control mice, striatum only</w:t>
              </w:r>
            </w:hyperlink>
          </w:p>
          <w:p>
            <w:pPr>
              <w:pStyle w:val="Compact"/>
              <w:numPr>
                <w:ilvl w:val="0"/>
                <w:numId w:val="1004"/>
              </w:numPr>
            </w:pPr>
            <w:hyperlink r:id="rId43">
              <w:r>
                <w:rPr>
                  <w:rStyle w:val="Hyperlink"/>
                </w:rPr>
                <w:t xml:space="preserve">Comparing gene expression between prefrontal cortex and striatum, all mice</w:t>
              </w:r>
            </w:hyperlink>
          </w:p>
          <w:p>
            <w:pPr>
              <w:pStyle w:val="Compact"/>
              <w:numPr>
                <w:ilvl w:val="0"/>
                <w:numId w:val="1004"/>
              </w:numPr>
            </w:pPr>
            <w:hyperlink r:id="rId44">
              <w:r>
                <w:rPr>
                  <w:rStyle w:val="Hyperlink"/>
                </w:rPr>
                <w:t xml:space="preserve">Comparing gene expression between prefrontal cortex and striatum, only ASD mice</w:t>
              </w:r>
            </w:hyperlink>
          </w:p>
          <w:p>
            <w:pPr>
              <w:pStyle w:val="Compact"/>
              <w:numPr>
                <w:ilvl w:val="0"/>
                <w:numId w:val="1004"/>
              </w:numPr>
            </w:pPr>
            <w:hyperlink r:id="rId45">
              <w:r>
                <w:rPr>
                  <w:rStyle w:val="Hyperlink"/>
                </w:rPr>
                <w:t xml:space="preserve">Comparing gene expression between prefrontal cortex and striatum, only control mice</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5"/>
              </w:numPr>
            </w:pPr>
            <w:hyperlink r:id="rId46">
              <w:r>
                <w:rPr>
                  <w:rStyle w:val="Hyperlink"/>
                </w:rPr>
                <w:t xml:space="preserve">Web page</w:t>
              </w:r>
            </w:hyperlink>
          </w:p>
          <w:p>
            <w:pPr>
              <w:pStyle w:val="Compact"/>
              <w:numPr>
                <w:ilvl w:val="0"/>
                <w:numId w:val="1005"/>
              </w:numPr>
            </w:pPr>
            <w:hyperlink r:id="rId47">
              <w:r>
                <w:rPr>
                  <w:rStyle w:val="Hyperlink"/>
                </w:rPr>
                <w:t xml:space="preserve">Quarto (qmd)</w:t>
              </w:r>
            </w:hyperlink>
          </w:p>
          <w:p>
            <w:pPr>
              <w:pStyle w:val="Compact"/>
              <w:numPr>
                <w:ilvl w:val="0"/>
                <w:numId w:val="1005"/>
              </w:numPr>
            </w:pPr>
            <w:hyperlink r:id="rId48">
              <w:r>
                <w:rPr>
                  <w:rStyle w:val="Hyperlink"/>
                </w:rPr>
                <w:t xml:space="preserve">Word (docx)</w:t>
              </w:r>
            </w:hyperlink>
          </w:p>
          <w:p>
            <w:pPr>
              <w:pStyle w:val="Compact"/>
              <w:numPr>
                <w:ilvl w:val="0"/>
                <w:numId w:val="1005"/>
              </w:numPr>
            </w:pPr>
            <w:hyperlink r:id="rId49">
              <w:r>
                <w:rPr>
                  <w:rStyle w:val="Hyperlink"/>
                </w:rPr>
                <w:t xml:space="preserve">Google doc</w:t>
              </w:r>
            </w:hyperlink>
          </w:p>
          <w:p/>
        </w:tc>
      </w:tr>
    </w:tbl>
    <w:bookmarkEnd w:id="50"/>
    <w:bookmarkStart w:id="53"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51">
        <w:r>
          <w:rPr>
            <w:rStyle w:val="Hyperlink"/>
          </w:rPr>
          <w:t xml:space="preserve">here</w:t>
        </w:r>
      </w:hyperlink>
      <w:r>
        <w:t xml:space="preserve">.</w:t>
      </w:r>
    </w:p>
    <w:p>
      <w:pPr>
        <w:pStyle w:val="BodyText"/>
      </w:pPr>
      <w:r>
        <w:t xml:space="preserve">An answer key is available</w:t>
      </w:r>
      <w:r>
        <w:t xml:space="preserve"> </w:t>
      </w:r>
      <w:hyperlink r:id="rId52">
        <w:r>
          <w:rPr>
            <w:rStyle w:val="Hyperlink"/>
          </w:rPr>
          <w:t xml:space="preserve">here</w:t>
        </w:r>
      </w:hyperlink>
      <w:r>
        <w:t xml:space="preserve">. Please message Ava Hoffman (ahoffma2 at fredhutch dot org) to get access.</w:t>
      </w:r>
    </w:p>
    <w:bookmarkEnd w:id="53"/>
    <w:bookmarkStart w:id="55" w:name="scientific-topics"/>
    <w:p>
      <w:pPr>
        <w:pStyle w:val="Heading2"/>
      </w:pPr>
      <w:r>
        <w:t xml:space="preserve">Scientific Topics</w:t>
      </w:r>
    </w:p>
    <w:p>
      <w:pPr>
        <w:pStyle w:val="FirstParagraph"/>
      </w:pPr>
      <w:r>
        <w:t xml:space="preserve">The activity uses data from a</w:t>
      </w:r>
      <w:r>
        <w:t xml:space="preserve"> </w:t>
      </w:r>
      <w:hyperlink r:id="rId54">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6"/>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6"/>
        </w:numPr>
      </w:pPr>
      <w:r>
        <w:t xml:space="preserve">Gut-brain axis: the proposed connection between the gut microbiome and gene expression in the brain</w:t>
      </w:r>
    </w:p>
    <w:p>
      <w:pPr>
        <w:numPr>
          <w:ilvl w:val="0"/>
          <w:numId w:val="1006"/>
        </w:numPr>
      </w:pPr>
      <w:r>
        <w:t xml:space="preserve">Autism Spectrum Disorder: a neurological disorder that affects behavioral and social interactions</w:t>
      </w:r>
    </w:p>
    <w:p>
      <w:pPr>
        <w:numPr>
          <w:ilvl w:val="0"/>
          <w:numId w:val="1006"/>
        </w:numPr>
      </w:pPr>
      <w:r>
        <w:t xml:space="preserve">Neurodevelopmental disorders: disorders that are the result of altered brain development (miniCURE only)</w:t>
      </w:r>
    </w:p>
    <w:p>
      <w:pPr>
        <w:numPr>
          <w:ilvl w:val="0"/>
          <w:numId w:val="1006"/>
        </w:numPr>
      </w:pPr>
      <w:r>
        <w:t xml:space="preserve">Neurodegenerative disorders: disorders that that occur when brain structures and systems experience degradation (miniCURE only)</w:t>
      </w:r>
    </w:p>
    <w:p>
      <w:pPr>
        <w:numPr>
          <w:ilvl w:val="0"/>
          <w:numId w:val="1006"/>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6"/>
        </w:numPr>
      </w:pPr>
      <w:r>
        <w:t xml:space="preserve">Striatum: the part of the brain involved in motor control and cognitive tasks like reward processing, decision-making, and social interactions</w:t>
      </w:r>
    </w:p>
    <w:bookmarkEnd w:id="55"/>
    <w:bookmarkStart w:id="56" w:name="outline-for-rna-seq-minicure-extension"/>
    <w:p>
      <w:pPr>
        <w:pStyle w:val="Heading2"/>
      </w:pPr>
      <w:r>
        <w:t xml:space="preserve">Outline for RNA-seq miniCURE Extension</w:t>
      </w:r>
    </w:p>
    <w:p>
      <w:pPr>
        <w:numPr>
          <w:ilvl w:val="0"/>
          <w:numId w:val="1007"/>
        </w:numPr>
      </w:pPr>
      <w:r>
        <w:t xml:space="preserve">Background and Setup</w:t>
      </w:r>
    </w:p>
    <w:p>
      <w:pPr>
        <w:numPr>
          <w:ilvl w:val="0"/>
          <w:numId w:val="1007"/>
        </w:numPr>
      </w:pPr>
      <w:r>
        <w:t xml:space="preserve">Developing a Hypothesis; Identifying Genes of Interest</w:t>
      </w:r>
    </w:p>
    <w:p>
      <w:pPr>
        <w:numPr>
          <w:ilvl w:val="0"/>
          <w:numId w:val="1007"/>
        </w:numPr>
      </w:pPr>
      <w:r>
        <w:t xml:space="preserve">Exploring Gene Expression Data</w:t>
      </w:r>
    </w:p>
    <w:p>
      <w:pPr>
        <w:numPr>
          <w:ilvl w:val="0"/>
          <w:numId w:val="1007"/>
        </w:numPr>
      </w:pPr>
      <w:r>
        <w:t xml:space="preserve">Analyzing Differential Expression Data</w:t>
      </w:r>
    </w:p>
    <w:bookmarkEnd w:id="56"/>
    <w:bookmarkStart w:id="60" w:name="outline-for-rna-seq-standalone-activity"/>
    <w:p>
      <w:pPr>
        <w:pStyle w:val="Heading2"/>
      </w:pPr>
      <w:r>
        <w:t xml:space="preserve">Outline for RNA-seq standalone activity</w:t>
      </w:r>
    </w:p>
    <w:p>
      <w:pPr>
        <w:numPr>
          <w:ilvl w:val="0"/>
          <w:numId w:val="1008"/>
        </w:numPr>
      </w:pPr>
      <w:r>
        <w:t xml:space="preserve">Background and Setup</w:t>
      </w:r>
    </w:p>
    <w:p>
      <w:pPr>
        <w:numPr>
          <w:ilvl w:val="0"/>
          <w:numId w:val="1008"/>
        </w:numPr>
      </w:pPr>
      <w:r>
        <w:t xml:space="preserve">Exploring Gene Expression Data</w:t>
      </w:r>
    </w:p>
    <w:p>
      <w:pPr>
        <w:numPr>
          <w:ilvl w:val="0"/>
          <w:numId w:val="1008"/>
        </w:numPr>
      </w:pPr>
      <w:r>
        <w:t xml:space="preserve">Analyzing Differential Expression Data</w:t>
      </w:r>
    </w:p>
    <w:bookmarkStart w:id="59" w:name="refs"/>
    <w:bookmarkStart w:id="58"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7">
        <w:r>
          <w:rPr>
            <w:rStyle w:val="Hyperlink"/>
          </w:rPr>
          <w:t xml:space="preserve">https://pubmed.ncbi.nlm.nih.gov/31150625/</w:t>
        </w:r>
      </w:hyperlink>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49" Target="" TargetMode="External" /><Relationship Type="http://schemas.openxmlformats.org/officeDocument/2006/relationships/hyperlink" Id="rId34" Target="https://docs.google.com/document/d/1832nmbVvC3xpT-iTGak_8zl-YOvyYsKY/edit?usp=sharing&amp;ouid=101727846555185296348&amp;rtpof=true&amp;sd=true" TargetMode="External" /><Relationship Type="http://schemas.openxmlformats.org/officeDocument/2006/relationships/hyperlink" Id="rId52" Target="https://docs.google.com/document/d/1qIxcwNs_vDqEI2qg9Tfeo2RshwZWmFg3ZewO5z3uPXw/edit?usp=sharing" TargetMode="External" /><Relationship Type="http://schemas.openxmlformats.org/officeDocument/2006/relationships/hyperlink" Id="rId51" Target="https://docs.google.com/presentation/d/1vikcyml6uw-_DaC1yFpS-UWoWNEGxFukMB_eCi42BqY/edit?usp=sharing" TargetMode="External" /><Relationship Type="http://schemas.openxmlformats.org/officeDocument/2006/relationships/hyperlink" Id="rId27"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46" Target="https://genomicseducation.org/module/mouse_gutbrain_de_questions_only.html"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6" Target="https://genomicseducation.shinyapps.io/student_post_survey/" TargetMode="External" /><Relationship Type="http://schemas.openxmlformats.org/officeDocument/2006/relationships/hyperlink" Id="rId25" Target="https://genomicseducation.shinyapps.io/student_pre_survey/" TargetMode="External" /><Relationship Type="http://schemas.openxmlformats.org/officeDocument/2006/relationships/hyperlink" Id="rId47" Target="https://github.com/fhdsl/GEMs/blob/main/module/mouse_gutbrain_de_questions_only.qmd"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48" Target="https://github.com/fhdsl/GEMs/raw/main/docs/docx/module/mouse_gutbrain_de_questions_only.docx"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7" Target="https://pubmed.ncbi.nlm.nih.gov/31150625/" TargetMode="External" /><Relationship Type="http://schemas.openxmlformats.org/officeDocument/2006/relationships/hyperlink" Id="rId54"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2026-10-31T12:03:40Z</dcterms:created>
  <dcterms:modified xsi:type="dcterms:W3CDTF">2026-10-31T12:03:40Z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