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24" w:name="part-1"/>
    <w:p>
      <w:pPr>
        <w:pStyle w:val="Heading2"/>
      </w:pPr>
      <w:r>
        <w:t xml:space="preserve">Part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Start w:id="23"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"readr"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SourceCode"/>
      </w:pPr>
      <w:r>
        <w:rPr>
          <w:rStyle w:val="FunctionTok"/>
        </w:rPr>
        <w:t xml:space="preserve">install.packages</w:t>
      </w:r>
      <w:r>
        <w:rPr>
          <w:rStyle w:val="NormalTok"/>
        </w:rPr>
        <w:t xml:space="preserve">(</w:t>
      </w:r>
      <w:r>
        <w:rPr>
          <w:rStyle w:val="StringTok"/>
        </w:rPr>
        <w:t xml:space="preserve">"dplyr"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(dplyr)</w:t>
      </w:r>
    </w:p>
    <w:p>
      <w:pPr>
        <w:pStyle w:val="FirstParagraph"/>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p>
    <w:bookmarkEnd w:id="23"/>
    <w:bookmarkEnd w:id="24"/>
    <w:bookmarkStart w:id="27"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What gene shows the greatest upregulation (increase in gene expression) in ASD-type mice compared to control mice? Give both the gene ID and the gene name.</w:t>
            </w:r>
          </w:p>
          <w:p>
            <w:pPr>
              <w:numPr>
                <w:ilvl w:val="0"/>
                <w:numId w:val="1002"/>
              </w:numPr>
            </w:pPr>
            <w:r>
              <w:t xml:space="preserve">What molecular functions does this gene do?</w:t>
            </w:r>
          </w:p>
          <w:p>
            <w:pPr>
              <w:numPr>
                <w:ilvl w:val="0"/>
                <w:numId w:val="1002"/>
              </w:numPr>
            </w:pPr>
            <w:r>
              <w:t xml:space="preserve">What gene shows the greatest downregulation (decrease in gene expression) in ASD-type mice compared to control mice? Give both the gene ID and the gene name.</w:t>
            </w:r>
          </w:p>
          <w:p>
            <w:pPr>
              <w:numPr>
                <w:ilvl w:val="0"/>
                <w:numId w:val="1002"/>
              </w:numPr>
            </w:pPr>
            <w:r>
              <w:t xml:space="preserve">What biological processes is this gene involved in?</w:t>
            </w:r>
          </w:p>
          <w:p/>
        </w:tc>
      </w:tr>
    </w:tbl>
    <w:bookmarkEnd w:id="27"/>
    <w:bookmarkStart w:id="30" w:name="part-3"/>
    <w:p>
      <w:pPr>
        <w:pStyle w:val="Heading2"/>
      </w:pPr>
      <w:r>
        <w:t xml:space="preserve">Part 3</w:t>
      </w:r>
    </w:p>
    <w:p>
      <w:pPr>
        <w:pStyle w:val="FirstParagraph"/>
      </w:pPr>
      <w:r>
        <w:t xml:space="preserve">In part 3, we’ll create a list of genes that are differentially expressed in the prefrontal cortex, then examine whether they show the same differential expression pattern in the striatum.</w:t>
      </w:r>
    </w:p>
    <w:p>
      <w:pPr>
        <w:pStyle w:val="BodyText"/>
      </w:pPr>
      <w:r>
        <w:t xml:space="preserve">In the previous section, we identified genes with the highest and lowest log2FoldChange. However, this metric isn’t always the best indicator of differential expression. The adjusted p-value, or padj, is preferred over log2FoldChange for identifying statistically significant changes in gene expression because padj accounts for multiple testing. This is crucial when analyzing a large number of genes simultaneously, as each additional statistical test increases the risk of identifying a false positive. The adjusted p-value provides a statistical correction that minimizes this risk. log2FoldChange provides information about the magnitude of expression change, while padj indicates its statistical significance.</w:t>
      </w:r>
    </w:p>
    <w:p>
      <w:pPr>
        <w:pStyle w:val="BodyText"/>
      </w:pPr>
      <w:r>
        <w:t xml:space="preserve">Let’s create a list of all the genes that are differentially expressed between ASD and control mice using the</w:t>
      </w:r>
      <w:r>
        <w:t xml:space="preserve"> </w:t>
      </w:r>
      <w:r>
        <w:rPr>
          <w:rStyle w:val="VerbatimChar"/>
        </w:rPr>
        <w:t xml:space="preserve">filter</w:t>
      </w:r>
      <w:r>
        <w:t xml:space="preserve"> </w:t>
      </w:r>
      <w:r>
        <w:t xml:space="preserve">command. We’ll set the padj threshold to 0.05.</w:t>
      </w:r>
    </w:p>
    <w:p>
      <w:pPr>
        <w:pStyle w:val="SourceCode"/>
      </w:pPr>
      <w:r>
        <w:rPr>
          <w:rStyle w:val="NormalTok"/>
        </w:rPr>
        <w:t xml:space="preserve">prefrontal_sig </w:t>
      </w:r>
      <w:r>
        <w:rPr>
          <w:rStyle w:val="OtherTok"/>
        </w:rPr>
        <w:t xml:space="preserve">&lt;-</w:t>
      </w:r>
      <w:r>
        <w:rPr>
          <w:rStyle w:val="NormalTok"/>
        </w:rPr>
        <w:t xml:space="preserve"> </w:t>
      </w:r>
      <w:r>
        <w:rPr>
          <w:rStyle w:val="FunctionTok"/>
        </w:rPr>
        <w:t xml:space="preserve">filter</w:t>
      </w:r>
      <w:r>
        <w:rPr>
          <w:rStyle w:val="NormalTok"/>
        </w:rPr>
        <w:t xml:space="preserve">(prefrontal, padj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FunctionTok"/>
        </w:rPr>
        <w:t xml:space="preserve">head</w:t>
      </w:r>
      <w:r>
        <w:rPr>
          <w:rStyle w:val="NormalTok"/>
        </w:rPr>
        <w:t xml:space="preserve">(prefrontal_sig)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SourceCode"/>
      </w:pPr>
      <w:r>
        <w:rPr>
          <w:rStyle w:val="FunctionTok"/>
        </w:rPr>
        <w:t xml:space="preserve">dim</w:t>
      </w:r>
      <w:r>
        <w:rPr>
          <w:rStyle w:val="NormalTok"/>
        </w:rPr>
        <w:t xml:space="preserve">(prefrontal_sig)</w:t>
      </w:r>
    </w:p>
    <w:p>
      <w:pPr>
        <w:pStyle w:val="SourceCode"/>
      </w:pPr>
      <w:r>
        <w:rPr>
          <w:rStyle w:val="VerbatimChar"/>
        </w:rPr>
        <w:t xml:space="preserve">[1] 103   7</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filter out the gene in which we’re interested from each object. Let’s take a look at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Finally, take a look at the differential expression of reg3a in each region.</w:t>
      </w:r>
    </w:p>
    <w:p>
      <w:pPr>
        <w:pStyle w:val="BodyText"/>
      </w:pPr>
      <w:r>
        <w:t xml:space="preserve">In the prefrontal cortex:</w:t>
      </w:r>
    </w:p>
    <w:p>
      <w:pPr>
        <w:pStyle w:val="SourceCode"/>
      </w:pP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In the striatum:</w:t>
      </w:r>
    </w:p>
    <w:p>
      <w:pPr>
        <w:pStyle w:val="SourceCode"/>
      </w:pP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genes did you keep after filtering out any genes with a padj &gt; 0.05?</w:t>
            </w:r>
          </w:p>
          <w:p>
            <w:pPr>
              <w:numPr>
                <w:ilvl w:val="0"/>
                <w:numId w:val="1003"/>
              </w:numPr>
            </w:pPr>
            <w:r>
              <w:t xml:space="preserve">How many genes in #8 show increased expression in ASD-type mice?</w:t>
            </w:r>
          </w:p>
          <w:p>
            <w:pPr>
              <w:numPr>
                <w:ilvl w:val="0"/>
                <w:numId w:val="1003"/>
              </w:numPr>
            </w:pPr>
            <w:r>
              <w:t xml:space="preserve">Did the genes you identified in part 2 (the one with the greatest positive log2FoldChange, as well as the one with the greatest negative log2FoldChange) meet the padj threshold? That is, did you keep these genes in your dataset after filtering?</w:t>
            </w:r>
          </w:p>
          <w:p>
            <w:pPr>
              <w:numPr>
                <w:ilvl w:val="0"/>
                <w:numId w:val="1003"/>
              </w:numPr>
            </w:pPr>
            <w:r>
              <w:t xml:space="preserve">Is the differential expression pattern of Reg3a the same in the striatum as in the prefrontal cortex?</w:t>
            </w:r>
          </w:p>
          <w:p/>
        </w:tc>
      </w:tr>
    </w:tbl>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2026-02-19T15:26:20Z</dcterms:created>
  <dcterms:modified xsi:type="dcterms:W3CDTF">2026-02-19T15:26:20Z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